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447BB" w14:textId="3DE0B51E" w:rsidR="00F16571" w:rsidRDefault="00420DFE">
      <w:pPr>
        <w:spacing w:line="240" w:lineRule="auto"/>
        <w:rPr>
          <w:sz w:val="2"/>
          <w:szCs w:val="2"/>
          <w:lang w:val="es-ES"/>
        </w:rPr>
      </w:pPr>
      <w:r>
        <w:rPr>
          <w:rStyle w:val="Refdecomentario"/>
          <w:rFonts w:eastAsia="SimSun"/>
        </w:rPr>
        <w:commentReference w:id="0"/>
      </w:r>
      <w:bookmarkStart w:id="1" w:name="_GoBack"/>
      <w:bookmarkEnd w:id="1"/>
    </w:p>
    <w:p w14:paraId="70911EAE" w14:textId="77777777" w:rsidR="00420DFE" w:rsidRPr="00420DFE" w:rsidRDefault="00420DFE" w:rsidP="00420DFE">
      <w:pPr>
        <w:spacing w:line="20" w:lineRule="exact"/>
        <w:rPr>
          <w:sz w:val="2"/>
          <w:szCs w:val="2"/>
          <w:lang w:val="es-ES"/>
        </w:rPr>
        <w:sectPr w:rsidR="00420DFE" w:rsidRPr="00420DFE" w:rsidSect="00B11E0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195" w:bottom="1152" w:left="1195" w:header="432" w:footer="504" w:gutter="0"/>
          <w:pgNumType w:start="1"/>
          <w:cols w:space="720"/>
          <w:noEndnote/>
          <w:titlePg/>
          <w:docGrid w:linePitch="278"/>
        </w:sectPr>
      </w:pPr>
    </w:p>
    <w:p w14:paraId="67B0B8EF" w14:textId="77777777" w:rsidR="00F16571" w:rsidRPr="003C7C55" w:rsidRDefault="00F16571" w:rsidP="00595AD2">
      <w:pPr>
        <w:pStyle w:val="TitleH1"/>
        <w:ind w:left="0" w:right="3910" w:firstLine="0"/>
        <w:rPr>
          <w:lang w:val="es-ES" w:eastAsia="en-US"/>
        </w:rPr>
      </w:pPr>
      <w:r w:rsidRPr="003C7C55">
        <w:rPr>
          <w:lang w:val="es-ES" w:eastAsia="en-US"/>
        </w:rPr>
        <w:lastRenderedPageBreak/>
        <w:t>Comité para la Eliminación de la Discriminación</w:t>
      </w:r>
      <w:r w:rsidR="00503E52" w:rsidRPr="003C7C55">
        <w:rPr>
          <w:lang w:val="es-ES" w:eastAsia="en-US"/>
        </w:rPr>
        <w:t xml:space="preserve"> </w:t>
      </w:r>
      <w:r w:rsidRPr="003C7C55">
        <w:rPr>
          <w:lang w:val="es-ES" w:eastAsia="en-US"/>
        </w:rPr>
        <w:t>contra la Mujer</w:t>
      </w:r>
    </w:p>
    <w:p w14:paraId="01B3872A" w14:textId="09A9E6E1" w:rsidR="00F16571" w:rsidRPr="003C7C55" w:rsidRDefault="00F16571">
      <w:pPr>
        <w:pStyle w:val="SingleTxt"/>
        <w:spacing w:after="0" w:line="120" w:lineRule="exact"/>
        <w:rPr>
          <w:sz w:val="10"/>
          <w:szCs w:val="10"/>
          <w:lang w:val="es-ES"/>
        </w:rPr>
      </w:pPr>
    </w:p>
    <w:p w14:paraId="5F54FDAB" w14:textId="77777777" w:rsidR="00F16571" w:rsidRPr="003C7C55" w:rsidRDefault="00F16571">
      <w:pPr>
        <w:pStyle w:val="SingleTxt"/>
        <w:spacing w:after="0" w:line="120" w:lineRule="exact"/>
        <w:rPr>
          <w:sz w:val="10"/>
          <w:szCs w:val="10"/>
          <w:lang w:val="es-ES"/>
        </w:rPr>
      </w:pPr>
    </w:p>
    <w:p w14:paraId="5A9477CB" w14:textId="77777777" w:rsidR="00352A6C" w:rsidRPr="003C7C55" w:rsidRDefault="00352A6C">
      <w:pPr>
        <w:pStyle w:val="SingleTxt"/>
        <w:spacing w:after="0" w:line="120" w:lineRule="exact"/>
        <w:rPr>
          <w:sz w:val="10"/>
          <w:szCs w:val="10"/>
          <w:lang w:val="es-ES"/>
        </w:rPr>
      </w:pPr>
    </w:p>
    <w:p w14:paraId="0CC47C18" w14:textId="7A18D6B5" w:rsidR="00181342" w:rsidRPr="003C7C55" w:rsidRDefault="00181342" w:rsidP="00595AD2">
      <w:pPr>
        <w:pStyle w:val="TitleHCH"/>
        <w:ind w:right="1480"/>
        <w:rPr>
          <w:lang w:val="es-ES" w:eastAsia="en-US"/>
        </w:rPr>
      </w:pPr>
      <w:r w:rsidRPr="003C7C55">
        <w:rPr>
          <w:lang w:val="es-ES" w:eastAsia="en-US"/>
        </w:rPr>
        <w:tab/>
      </w:r>
      <w:r w:rsidRPr="003C7C55">
        <w:rPr>
          <w:lang w:val="es-ES" w:eastAsia="en-US"/>
        </w:rPr>
        <w:tab/>
      </w:r>
      <w:r w:rsidR="00E309CF" w:rsidRPr="003C7C55">
        <w:rPr>
          <w:lang w:val="es-ES" w:eastAsia="en-US"/>
        </w:rPr>
        <w:t>Observaciones finales sobre el séptimo informe periódico del</w:t>
      </w:r>
      <w:r w:rsidR="0039380A" w:rsidRPr="003C7C55">
        <w:rPr>
          <w:lang w:val="es-ES" w:eastAsia="en-US"/>
        </w:rPr>
        <w:t xml:space="preserve"> </w:t>
      </w:r>
      <w:r w:rsidR="00E309CF" w:rsidRPr="003C7C55">
        <w:rPr>
          <w:lang w:val="es-ES" w:eastAsia="en-US"/>
        </w:rPr>
        <w:t>Paraguay</w:t>
      </w:r>
      <w:r w:rsidRPr="003C7C55">
        <w:rPr>
          <w:sz w:val="20"/>
          <w:lang w:val="es-ES" w:eastAsia="en-US"/>
        </w:rPr>
        <w:t>*</w:t>
      </w:r>
    </w:p>
    <w:p w14:paraId="68D953EC" w14:textId="77777777" w:rsidR="00181342" w:rsidRPr="003C7C55" w:rsidRDefault="00181342" w:rsidP="009979B6">
      <w:pPr>
        <w:pStyle w:val="SingleTxt"/>
        <w:spacing w:after="0" w:line="120" w:lineRule="exact"/>
        <w:rPr>
          <w:sz w:val="10"/>
          <w:szCs w:val="10"/>
          <w:lang w:val="es-ES"/>
        </w:rPr>
      </w:pPr>
    </w:p>
    <w:p w14:paraId="74756F34" w14:textId="77777777" w:rsidR="00181342" w:rsidRPr="003C7C55" w:rsidRDefault="00181342" w:rsidP="009979B6">
      <w:pPr>
        <w:pStyle w:val="SingleTxt"/>
        <w:spacing w:after="0" w:line="120" w:lineRule="exact"/>
        <w:rPr>
          <w:sz w:val="10"/>
          <w:szCs w:val="10"/>
          <w:lang w:val="es-ES"/>
        </w:rPr>
      </w:pPr>
    </w:p>
    <w:p w14:paraId="5838225D" w14:textId="77777777" w:rsidR="009B4B38" w:rsidRPr="003C7C55" w:rsidRDefault="009B4B38" w:rsidP="009B4B38">
      <w:pPr>
        <w:framePr w:w="9792" w:h="432" w:hSpace="180" w:wrap="around" w:vAnchor="page" w:hAnchor="page" w:x="1210" w:y="14041"/>
        <w:spacing w:line="240" w:lineRule="auto"/>
        <w:rPr>
          <w:sz w:val="10"/>
          <w:lang w:val="es-ES"/>
        </w:rPr>
      </w:pPr>
    </w:p>
    <w:p w14:paraId="7C8B2904" w14:textId="36453912" w:rsidR="009B4B38" w:rsidRPr="003C7C55" w:rsidRDefault="009B4B38" w:rsidP="009B4B38">
      <w:pPr>
        <w:framePr w:w="9792" w:h="432" w:hSpace="180" w:wrap="around" w:vAnchor="page" w:hAnchor="page" w:x="1210" w:y="14041"/>
        <w:spacing w:line="240" w:lineRule="auto"/>
        <w:rPr>
          <w:sz w:val="6"/>
          <w:lang w:val="es-ES"/>
        </w:rPr>
      </w:pPr>
    </w:p>
    <w:p w14:paraId="01B1797D" w14:textId="0BB39D96" w:rsidR="009B4B38" w:rsidRPr="003C7C55" w:rsidRDefault="009B4B38" w:rsidP="008F5D1B">
      <w:pPr>
        <w:framePr w:w="9792" w:h="432" w:hSpace="180" w:wrap="around" w:vAnchor="page" w:hAnchor="page" w:x="1210" w:y="14041"/>
        <w:tabs>
          <w:tab w:val="right" w:pos="1195"/>
          <w:tab w:val="left" w:pos="126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lang w:val="es-ES" w:eastAsia="en-US"/>
        </w:rPr>
      </w:pPr>
      <w:r w:rsidRPr="003C7C55">
        <w:rPr>
          <w:sz w:val="17"/>
          <w:lang w:val="es-ES" w:eastAsia="en-US"/>
        </w:rPr>
        <w:tab/>
        <w:t>*</w:t>
      </w:r>
      <w:r w:rsidRPr="003C7C55">
        <w:rPr>
          <w:sz w:val="17"/>
          <w:lang w:val="es-ES" w:eastAsia="en-US"/>
        </w:rPr>
        <w:tab/>
      </w:r>
      <w:r w:rsidR="00602353" w:rsidRPr="003C7C55">
        <w:rPr>
          <w:sz w:val="17"/>
          <w:lang w:val="es-ES" w:eastAsia="en-US"/>
        </w:rPr>
        <w:t>Aprobadas por el Comité en su</w:t>
      </w:r>
      <w:r w:rsidR="0039380A" w:rsidRPr="003C7C55">
        <w:rPr>
          <w:sz w:val="17"/>
          <w:lang w:val="es-ES" w:eastAsia="en-US"/>
        </w:rPr>
        <w:t xml:space="preserve"> 68</w:t>
      </w:r>
      <w:r w:rsidR="00602353" w:rsidRPr="003C7C55">
        <w:rPr>
          <w:sz w:val="17"/>
          <w:lang w:val="es-ES" w:eastAsia="en-US"/>
        </w:rPr>
        <w:t>º</w:t>
      </w:r>
      <w:r w:rsidR="008E0629" w:rsidRPr="003C7C55">
        <w:rPr>
          <w:sz w:val="17"/>
          <w:lang w:val="es-ES" w:eastAsia="en-US"/>
        </w:rPr>
        <w:t xml:space="preserve"> </w:t>
      </w:r>
      <w:r w:rsidR="00602353" w:rsidRPr="003C7C55">
        <w:rPr>
          <w:sz w:val="17"/>
          <w:lang w:val="es-ES" w:eastAsia="en-US"/>
        </w:rPr>
        <w:t>período de sesiones (</w:t>
      </w:r>
      <w:r w:rsidR="0039380A" w:rsidRPr="003C7C55">
        <w:rPr>
          <w:sz w:val="17"/>
          <w:lang w:val="es-ES" w:eastAsia="en-US"/>
        </w:rPr>
        <w:t xml:space="preserve">23 </w:t>
      </w:r>
      <w:r w:rsidR="00602353" w:rsidRPr="003C7C55">
        <w:rPr>
          <w:sz w:val="17"/>
          <w:lang w:val="es-ES" w:eastAsia="en-US"/>
        </w:rPr>
        <w:t>de octubre a</w:t>
      </w:r>
      <w:r w:rsidR="0039380A" w:rsidRPr="003C7C55">
        <w:rPr>
          <w:sz w:val="17"/>
          <w:lang w:val="es-ES" w:eastAsia="en-US"/>
        </w:rPr>
        <w:t xml:space="preserve"> 17 </w:t>
      </w:r>
      <w:r w:rsidR="00602353" w:rsidRPr="003C7C55">
        <w:rPr>
          <w:sz w:val="17"/>
          <w:lang w:val="es-ES" w:eastAsia="en-US"/>
        </w:rPr>
        <w:t>de noviembre de</w:t>
      </w:r>
      <w:r w:rsidR="0039380A" w:rsidRPr="003C7C55">
        <w:rPr>
          <w:sz w:val="17"/>
          <w:lang w:val="es-ES" w:eastAsia="en-US"/>
        </w:rPr>
        <w:t xml:space="preserve"> 2017</w:t>
      </w:r>
      <w:r w:rsidR="00602353" w:rsidRPr="003C7C55">
        <w:rPr>
          <w:sz w:val="17"/>
          <w:lang w:val="es-ES" w:eastAsia="en-US"/>
        </w:rPr>
        <w:t>)</w:t>
      </w:r>
      <w:r w:rsidR="0039380A" w:rsidRPr="003C7C55">
        <w:rPr>
          <w:sz w:val="17"/>
          <w:lang w:val="es-ES" w:eastAsia="en-US"/>
        </w:rPr>
        <w:t>.</w:t>
      </w:r>
    </w:p>
    <w:p w14:paraId="108E6DC8" w14:textId="28D02924" w:rsidR="00D83848" w:rsidRPr="003C7C55" w:rsidRDefault="00B557FF" w:rsidP="009F6113">
      <w:pPr>
        <w:pStyle w:val="SingleTxt"/>
        <w:numPr>
          <w:ilvl w:val="0"/>
          <w:numId w:val="5"/>
        </w:numPr>
        <w:tabs>
          <w:tab w:val="num" w:pos="1742"/>
        </w:tabs>
        <w:ind w:left="1267" w:firstLine="0"/>
        <w:rPr>
          <w:szCs w:val="22"/>
          <w:lang w:val="es-ES" w:eastAsia="en-US"/>
        </w:rPr>
      </w:pPr>
      <w:r w:rsidRPr="003C7C55">
        <w:rPr>
          <w:szCs w:val="22"/>
          <w:lang w:val="es-ES" w:eastAsia="en-US"/>
        </w:rPr>
        <w:t>El Comité examinó el séptimo informe periódico del Paraguay (</w:t>
      </w:r>
      <w:hyperlink r:id="rId16" w:history="1">
        <w:r w:rsidRPr="003C7C55">
          <w:rPr>
            <w:rStyle w:val="Hipervnculo"/>
            <w:szCs w:val="22"/>
            <w:lang w:val="es-ES" w:eastAsia="en-US"/>
          </w:rPr>
          <w:t>CEDAW/C/PRY/</w:t>
        </w:r>
        <w:r w:rsidR="0039380A" w:rsidRPr="003C7C55">
          <w:rPr>
            <w:rStyle w:val="Hipervnculo"/>
            <w:szCs w:val="22"/>
            <w:lang w:val="es-ES" w:eastAsia="en-US"/>
          </w:rPr>
          <w:t>7</w:t>
        </w:r>
      </w:hyperlink>
      <w:r w:rsidRPr="003C7C55">
        <w:rPr>
          <w:szCs w:val="22"/>
          <w:lang w:val="es-ES" w:eastAsia="en-US"/>
        </w:rPr>
        <w:t>) en sus sesiones</w:t>
      </w:r>
      <w:r w:rsidR="0039380A" w:rsidRPr="003C7C55">
        <w:rPr>
          <w:szCs w:val="22"/>
          <w:lang w:val="es-ES" w:eastAsia="en-US"/>
        </w:rPr>
        <w:t xml:space="preserve"> 1536</w:t>
      </w:r>
      <w:r w:rsidRPr="003C7C55">
        <w:rPr>
          <w:szCs w:val="22"/>
          <w:lang w:val="es-ES" w:eastAsia="en-US"/>
        </w:rPr>
        <w:t>ª y</w:t>
      </w:r>
      <w:r w:rsidR="0039380A" w:rsidRPr="003C7C55">
        <w:rPr>
          <w:szCs w:val="22"/>
          <w:lang w:val="es-ES" w:eastAsia="en-US"/>
        </w:rPr>
        <w:t xml:space="preserve"> 1537</w:t>
      </w:r>
      <w:r w:rsidRPr="003C7C55">
        <w:rPr>
          <w:szCs w:val="22"/>
          <w:lang w:val="es-ES" w:eastAsia="en-US"/>
        </w:rPr>
        <w:t xml:space="preserve">ª (véanse </w:t>
      </w:r>
      <w:hyperlink r:id="rId17" w:history="1">
        <w:r w:rsidRPr="003C7C55">
          <w:rPr>
            <w:rStyle w:val="Hipervnculo"/>
            <w:szCs w:val="22"/>
            <w:lang w:val="es-ES" w:eastAsia="en-US"/>
          </w:rPr>
          <w:t>CEDAW/C/SR</w:t>
        </w:r>
        <w:r w:rsidR="0039380A" w:rsidRPr="003C7C55">
          <w:rPr>
            <w:rStyle w:val="Hipervnculo"/>
            <w:szCs w:val="22"/>
            <w:lang w:val="es-ES" w:eastAsia="en-US"/>
          </w:rPr>
          <w:t>.1536</w:t>
        </w:r>
      </w:hyperlink>
      <w:r w:rsidRPr="003C7C55">
        <w:rPr>
          <w:szCs w:val="22"/>
          <w:lang w:val="es-ES" w:eastAsia="en-US"/>
        </w:rPr>
        <w:t xml:space="preserve"> y </w:t>
      </w:r>
      <w:hyperlink r:id="rId18" w:history="1">
        <w:r w:rsidRPr="003C7C55">
          <w:rPr>
            <w:rStyle w:val="Hipervnculo"/>
            <w:szCs w:val="22"/>
            <w:lang w:val="es-ES" w:eastAsia="en-US"/>
          </w:rPr>
          <w:t>CEDAW/C/SR</w:t>
        </w:r>
        <w:r w:rsidR="0039380A" w:rsidRPr="003C7C55">
          <w:rPr>
            <w:rStyle w:val="Hipervnculo"/>
            <w:szCs w:val="22"/>
            <w:lang w:val="es-ES" w:eastAsia="en-US"/>
          </w:rPr>
          <w:t>.1537</w:t>
        </w:r>
      </w:hyperlink>
      <w:r w:rsidRPr="003C7C55">
        <w:rPr>
          <w:szCs w:val="22"/>
          <w:lang w:val="es-ES" w:eastAsia="en-US"/>
        </w:rPr>
        <w:t>), celebradas el</w:t>
      </w:r>
      <w:r w:rsidR="0039380A" w:rsidRPr="003C7C55">
        <w:rPr>
          <w:szCs w:val="22"/>
          <w:lang w:val="es-ES" w:eastAsia="en-US"/>
        </w:rPr>
        <w:t xml:space="preserve"> 26 </w:t>
      </w:r>
      <w:r w:rsidRPr="003C7C55">
        <w:rPr>
          <w:szCs w:val="22"/>
          <w:lang w:val="es-ES" w:eastAsia="en-US"/>
        </w:rPr>
        <w:t>de octubre de</w:t>
      </w:r>
      <w:r w:rsidR="0039380A" w:rsidRPr="003C7C55">
        <w:rPr>
          <w:szCs w:val="22"/>
          <w:lang w:val="es-ES" w:eastAsia="en-US"/>
        </w:rPr>
        <w:t xml:space="preserve"> 2017.</w:t>
      </w:r>
      <w:r w:rsidRPr="003C7C55">
        <w:rPr>
          <w:szCs w:val="22"/>
          <w:lang w:val="es-ES" w:eastAsia="en-US"/>
        </w:rPr>
        <w:t xml:space="preserve"> La lista de cuestiones y preguntas del Comité figura en el documento </w:t>
      </w:r>
      <w:hyperlink r:id="rId19" w:history="1">
        <w:r w:rsidRPr="003C7C55">
          <w:rPr>
            <w:rStyle w:val="Hipervnculo"/>
            <w:szCs w:val="22"/>
            <w:lang w:val="es-ES" w:eastAsia="en-US"/>
          </w:rPr>
          <w:t>CEDAW/C/PRY/Q/</w:t>
        </w:r>
        <w:r w:rsidR="0039380A" w:rsidRPr="003C7C55">
          <w:rPr>
            <w:rStyle w:val="Hipervnculo"/>
            <w:szCs w:val="22"/>
            <w:lang w:val="es-ES" w:eastAsia="en-US"/>
          </w:rPr>
          <w:t>7</w:t>
        </w:r>
      </w:hyperlink>
      <w:r w:rsidRPr="003C7C55">
        <w:rPr>
          <w:szCs w:val="22"/>
          <w:lang w:val="es-ES" w:eastAsia="en-US"/>
        </w:rPr>
        <w:t xml:space="preserve"> y las respuestas del Paraguay figuran en el documento </w:t>
      </w:r>
      <w:hyperlink r:id="rId20" w:history="1">
        <w:r w:rsidRPr="003C7C55">
          <w:rPr>
            <w:rStyle w:val="Hipervnculo"/>
            <w:szCs w:val="22"/>
            <w:lang w:val="es-ES" w:eastAsia="en-US"/>
          </w:rPr>
          <w:t>CEDAW/C/PRY/Q/</w:t>
        </w:r>
        <w:r w:rsidR="0039380A" w:rsidRPr="003C7C55">
          <w:rPr>
            <w:rStyle w:val="Hipervnculo"/>
            <w:szCs w:val="22"/>
            <w:lang w:val="es-ES" w:eastAsia="en-US"/>
          </w:rPr>
          <w:t>7</w:t>
        </w:r>
        <w:r w:rsidRPr="003C7C55">
          <w:rPr>
            <w:rStyle w:val="Hipervnculo"/>
            <w:szCs w:val="22"/>
            <w:lang w:val="es-ES" w:eastAsia="en-US"/>
          </w:rPr>
          <w:t>/Add</w:t>
        </w:r>
        <w:r w:rsidR="0039380A" w:rsidRPr="003C7C55">
          <w:rPr>
            <w:rStyle w:val="Hipervnculo"/>
            <w:szCs w:val="22"/>
            <w:lang w:val="es-ES" w:eastAsia="en-US"/>
          </w:rPr>
          <w:t>.1</w:t>
        </w:r>
      </w:hyperlink>
      <w:r w:rsidR="0039380A" w:rsidRPr="003C7C55">
        <w:rPr>
          <w:szCs w:val="22"/>
          <w:lang w:val="es-ES" w:eastAsia="en-US"/>
        </w:rPr>
        <w:t>.</w:t>
      </w:r>
    </w:p>
    <w:p w14:paraId="43163C11" w14:textId="77777777" w:rsidR="00167CE9" w:rsidRPr="003C7C55" w:rsidRDefault="00167CE9" w:rsidP="00167CE9">
      <w:pPr>
        <w:pStyle w:val="SingleTxt"/>
        <w:spacing w:after="0" w:line="120" w:lineRule="exact"/>
        <w:rPr>
          <w:sz w:val="10"/>
          <w:szCs w:val="10"/>
          <w:lang w:val="es-ES"/>
        </w:rPr>
      </w:pPr>
    </w:p>
    <w:p w14:paraId="470B41AD" w14:textId="77777777" w:rsidR="00167CE9" w:rsidRPr="003C7C55" w:rsidRDefault="00167CE9" w:rsidP="00167CE9">
      <w:pPr>
        <w:pStyle w:val="SingleTxt"/>
        <w:spacing w:after="0" w:line="120" w:lineRule="exact"/>
        <w:rPr>
          <w:sz w:val="10"/>
          <w:szCs w:val="10"/>
          <w:lang w:val="es-ES"/>
        </w:rPr>
      </w:pPr>
    </w:p>
    <w:p w14:paraId="15E35A19" w14:textId="0F515F0C" w:rsidR="00D83848" w:rsidRPr="003C7C55" w:rsidRDefault="00D83848" w:rsidP="00D83848">
      <w:pPr>
        <w:pStyle w:val="H1"/>
        <w:ind w:right="1260"/>
        <w:rPr>
          <w:bCs w:val="0"/>
          <w:szCs w:val="20"/>
          <w:lang w:val="es-ES" w:eastAsia="en-US"/>
        </w:rPr>
      </w:pPr>
      <w:bookmarkStart w:id="2" w:name="bookmark_1163"/>
      <w:r w:rsidRPr="003C7C55">
        <w:rPr>
          <w:bCs w:val="0"/>
          <w:szCs w:val="20"/>
          <w:lang w:val="es-ES" w:eastAsia="en-US"/>
        </w:rPr>
        <w:tab/>
        <w:t>A</w:t>
      </w:r>
      <w:r w:rsidR="0039380A" w:rsidRPr="003C7C55">
        <w:rPr>
          <w:bCs w:val="0"/>
          <w:szCs w:val="20"/>
          <w:lang w:val="es-ES" w:eastAsia="en-US"/>
        </w:rPr>
        <w:t>.</w:t>
      </w:r>
      <w:r w:rsidRPr="003C7C55">
        <w:rPr>
          <w:bCs w:val="0"/>
          <w:szCs w:val="20"/>
          <w:lang w:val="es-ES" w:eastAsia="en-US"/>
        </w:rPr>
        <w:tab/>
        <w:t>Introducción</w:t>
      </w:r>
      <w:bookmarkEnd w:id="2"/>
    </w:p>
    <w:p w14:paraId="4E04392A" w14:textId="77777777" w:rsidR="00167CE9" w:rsidRPr="003C7C55" w:rsidRDefault="00167CE9" w:rsidP="00167CE9">
      <w:pPr>
        <w:pStyle w:val="SingleTxt"/>
        <w:spacing w:after="0" w:line="120" w:lineRule="exact"/>
        <w:rPr>
          <w:sz w:val="10"/>
          <w:szCs w:val="10"/>
          <w:lang w:val="es-ES"/>
        </w:rPr>
      </w:pPr>
    </w:p>
    <w:p w14:paraId="1311D00F" w14:textId="77777777" w:rsidR="00167CE9" w:rsidRPr="003C7C55" w:rsidRDefault="00167CE9" w:rsidP="00167CE9">
      <w:pPr>
        <w:pStyle w:val="SingleTxt"/>
        <w:spacing w:after="0" w:line="120" w:lineRule="exact"/>
        <w:rPr>
          <w:sz w:val="10"/>
          <w:szCs w:val="10"/>
          <w:lang w:val="es-ES"/>
        </w:rPr>
      </w:pPr>
    </w:p>
    <w:p w14:paraId="2D679416" w14:textId="15D68822" w:rsidR="004E3FF9" w:rsidRPr="003C7C55" w:rsidRDefault="004E3FF9" w:rsidP="009F6113">
      <w:pPr>
        <w:pStyle w:val="SingleTxt"/>
        <w:numPr>
          <w:ilvl w:val="0"/>
          <w:numId w:val="5"/>
        </w:numPr>
        <w:tabs>
          <w:tab w:val="num" w:pos="1742"/>
        </w:tabs>
        <w:ind w:left="1267" w:firstLine="0"/>
        <w:rPr>
          <w:szCs w:val="22"/>
          <w:lang w:val="es-ES" w:eastAsia="en-US"/>
        </w:rPr>
      </w:pPr>
      <w:bookmarkStart w:id="3" w:name="bookmark_1164"/>
      <w:r w:rsidRPr="003C7C55">
        <w:rPr>
          <w:szCs w:val="22"/>
          <w:lang w:val="es-ES" w:eastAsia="en-US"/>
        </w:rPr>
        <w:t>El Comité expresa su agradecimiento al Estado parte por la presentación de su séptimo informe periódico</w:t>
      </w:r>
      <w:r w:rsidR="0039380A" w:rsidRPr="003C7C55">
        <w:rPr>
          <w:szCs w:val="22"/>
          <w:lang w:val="es-ES" w:eastAsia="en-US"/>
        </w:rPr>
        <w:t>.</w:t>
      </w:r>
      <w:r w:rsidRPr="003C7C55">
        <w:rPr>
          <w:szCs w:val="22"/>
          <w:lang w:val="es-ES" w:eastAsia="en-US"/>
        </w:rPr>
        <w:t xml:space="preserve"> Agradece también el informe de seguimiento del Estado parte (</w:t>
      </w:r>
      <w:hyperlink r:id="rId21" w:history="1">
        <w:r w:rsidRPr="003C7C55">
          <w:rPr>
            <w:rStyle w:val="Hipervnculo"/>
            <w:szCs w:val="22"/>
            <w:lang w:val="es-ES" w:eastAsia="en-US"/>
          </w:rPr>
          <w:t>CEDAW/C/PRY/CO/</w:t>
        </w:r>
        <w:r w:rsidR="0039380A" w:rsidRPr="003C7C55">
          <w:rPr>
            <w:rStyle w:val="Hipervnculo"/>
            <w:szCs w:val="22"/>
            <w:lang w:val="es-ES" w:eastAsia="en-US"/>
          </w:rPr>
          <w:t>6</w:t>
        </w:r>
        <w:r w:rsidRPr="003C7C55">
          <w:rPr>
            <w:rStyle w:val="Hipervnculo"/>
            <w:szCs w:val="22"/>
            <w:lang w:val="es-ES" w:eastAsia="en-US"/>
          </w:rPr>
          <w:t>/Add</w:t>
        </w:r>
        <w:r w:rsidR="0039380A" w:rsidRPr="003C7C55">
          <w:rPr>
            <w:rStyle w:val="Hipervnculo"/>
            <w:szCs w:val="22"/>
            <w:lang w:val="es-ES" w:eastAsia="en-US"/>
          </w:rPr>
          <w:t>.1</w:t>
        </w:r>
      </w:hyperlink>
      <w:r w:rsidRPr="003C7C55">
        <w:rPr>
          <w:szCs w:val="22"/>
          <w:lang w:val="es-ES" w:eastAsia="en-US"/>
        </w:rPr>
        <w:t>) y sus respuestas escritas a la lista de cuestiones y preguntas planteadas por el grupo de trabajo anterior al período de sesiones, así como la presentación oral realizada por la delegación y sus aclaraciones posteriores en respuesta a las preguntas formuladas oralmente por el Comité durante el diálogo</w:t>
      </w:r>
      <w:r w:rsidR="0039380A" w:rsidRPr="003C7C55">
        <w:rPr>
          <w:szCs w:val="22"/>
          <w:lang w:val="es-ES" w:eastAsia="en-US"/>
        </w:rPr>
        <w:t>.</w:t>
      </w:r>
    </w:p>
    <w:p w14:paraId="79A8D227" w14:textId="427F4BAC" w:rsidR="004E3FF9" w:rsidRPr="003C7C55" w:rsidRDefault="004E3FF9" w:rsidP="009F6113">
      <w:pPr>
        <w:pStyle w:val="SingleTxt"/>
        <w:numPr>
          <w:ilvl w:val="0"/>
          <w:numId w:val="5"/>
        </w:numPr>
        <w:tabs>
          <w:tab w:val="num" w:pos="1742"/>
        </w:tabs>
        <w:ind w:left="1267" w:firstLine="0"/>
        <w:rPr>
          <w:szCs w:val="22"/>
          <w:lang w:val="es-ES" w:eastAsia="en-US"/>
        </w:rPr>
      </w:pPr>
      <w:bookmarkStart w:id="4" w:name="bookmark_1341"/>
      <w:r w:rsidRPr="003C7C55">
        <w:rPr>
          <w:szCs w:val="22"/>
          <w:lang w:val="es-ES" w:eastAsia="en-US"/>
        </w:rPr>
        <w:t>El Comité encomia al Estado parte por su delegación de alto nivel, que estuvo encabezada por la Ministra de la Mujer del Paraguay, Sra</w:t>
      </w:r>
      <w:r w:rsidR="0039380A" w:rsidRPr="003C7C55">
        <w:rPr>
          <w:szCs w:val="22"/>
          <w:lang w:val="es-ES" w:eastAsia="en-US"/>
        </w:rPr>
        <w:t>.</w:t>
      </w:r>
      <w:r w:rsidRPr="003C7C55">
        <w:rPr>
          <w:szCs w:val="22"/>
          <w:lang w:val="es-ES" w:eastAsia="en-US"/>
        </w:rPr>
        <w:t xml:space="preserve"> Ana María Baiardi, e integrada por el Ministro de la Corte Suprema, el Ministro de Justicia, el Ministro del Tribunal Superior de Justicia Electoral, el Ministro de la Secretaría de Acción Social, el Ministro de la Secretaría Nacional de la Niñez y la Adolescencia, representantes del Ministerio de la Mujer, el Ministerio de la Defensa Nacional, el Ministerio de Trabajo, Empleo y Seguridad Social, el Ministerio de Educación y Ciencias, el Ministerio de Salud Pública y Bienestar Social, el Ministerio de Relaciones Exteriores, la Policía Nacional, el Crédito Agrícola de Habilitación y la Misión Permanente del Paraguay ante la Oficina de las Naciones Unidas y otras organizaciones internacionales en Ginebra</w:t>
      </w:r>
      <w:r w:rsidR="0039380A" w:rsidRPr="003C7C55">
        <w:rPr>
          <w:szCs w:val="22"/>
          <w:lang w:val="es-ES" w:eastAsia="en-US"/>
        </w:rPr>
        <w:t>.</w:t>
      </w:r>
      <w:bookmarkEnd w:id="4"/>
    </w:p>
    <w:p w14:paraId="5C930AEB" w14:textId="77777777" w:rsidR="003C0FE2" w:rsidRPr="003C7C55" w:rsidRDefault="003C0FE2" w:rsidP="003C0FE2">
      <w:pPr>
        <w:pStyle w:val="SingleTxt"/>
        <w:spacing w:after="0" w:line="120" w:lineRule="exact"/>
        <w:rPr>
          <w:sz w:val="10"/>
          <w:szCs w:val="10"/>
          <w:lang w:val="es-ES"/>
        </w:rPr>
      </w:pPr>
    </w:p>
    <w:p w14:paraId="1016B0D1" w14:textId="77777777" w:rsidR="003C0FE2" w:rsidRPr="003C7C55" w:rsidRDefault="003C0FE2" w:rsidP="003C0FE2">
      <w:pPr>
        <w:pStyle w:val="SingleTxt"/>
        <w:spacing w:after="0" w:line="120" w:lineRule="exact"/>
        <w:rPr>
          <w:sz w:val="10"/>
          <w:szCs w:val="10"/>
          <w:lang w:val="es-ES"/>
        </w:rPr>
      </w:pPr>
    </w:p>
    <w:p w14:paraId="3472E3C6" w14:textId="354EC4AF" w:rsidR="004E3FF9" w:rsidRPr="003C7C55" w:rsidRDefault="004E3FF9" w:rsidP="004E3FF9">
      <w:pPr>
        <w:pStyle w:val="H1"/>
        <w:ind w:right="1260"/>
        <w:rPr>
          <w:bCs w:val="0"/>
          <w:szCs w:val="20"/>
          <w:lang w:val="es-ES" w:eastAsia="en-US"/>
        </w:rPr>
      </w:pPr>
      <w:bookmarkStart w:id="5" w:name="bookmark_1342"/>
      <w:r w:rsidRPr="003C7C55">
        <w:rPr>
          <w:bCs w:val="0"/>
          <w:szCs w:val="20"/>
          <w:lang w:val="es-ES" w:eastAsia="en-US"/>
        </w:rPr>
        <w:tab/>
        <w:t>B</w:t>
      </w:r>
      <w:r w:rsidR="0039380A" w:rsidRPr="003C7C55">
        <w:rPr>
          <w:bCs w:val="0"/>
          <w:szCs w:val="20"/>
          <w:lang w:val="es-ES" w:eastAsia="en-US"/>
        </w:rPr>
        <w:t>.</w:t>
      </w:r>
      <w:r w:rsidRPr="003C7C55">
        <w:rPr>
          <w:bCs w:val="0"/>
          <w:szCs w:val="20"/>
          <w:lang w:val="es-ES" w:eastAsia="en-US"/>
        </w:rPr>
        <w:tab/>
        <w:t>Aspectos positivos</w:t>
      </w:r>
      <w:bookmarkEnd w:id="5"/>
    </w:p>
    <w:p w14:paraId="3698E52B" w14:textId="77777777" w:rsidR="003C0FE2" w:rsidRPr="003C7C55" w:rsidRDefault="003C0FE2" w:rsidP="003C0FE2">
      <w:pPr>
        <w:pStyle w:val="SingleTxt"/>
        <w:spacing w:after="0" w:line="120" w:lineRule="exact"/>
        <w:rPr>
          <w:sz w:val="10"/>
          <w:szCs w:val="10"/>
          <w:lang w:val="es-ES"/>
        </w:rPr>
      </w:pPr>
    </w:p>
    <w:p w14:paraId="229C6BFA" w14:textId="77777777" w:rsidR="003C0FE2" w:rsidRPr="003C7C55" w:rsidRDefault="003C0FE2" w:rsidP="003C0FE2">
      <w:pPr>
        <w:pStyle w:val="SingleTxt"/>
        <w:spacing w:after="0" w:line="120" w:lineRule="exact"/>
        <w:rPr>
          <w:sz w:val="10"/>
          <w:szCs w:val="10"/>
          <w:lang w:val="es-ES"/>
        </w:rPr>
      </w:pPr>
    </w:p>
    <w:bookmarkStart w:id="6" w:name="bookmark_1343"/>
    <w:p w14:paraId="139359D2" w14:textId="18AB353E" w:rsidR="0039380A" w:rsidRPr="003C7C55" w:rsidRDefault="00595AD2" w:rsidP="009F6113">
      <w:pPr>
        <w:pStyle w:val="SingleTxt"/>
        <w:numPr>
          <w:ilvl w:val="0"/>
          <w:numId w:val="5"/>
        </w:numPr>
        <w:tabs>
          <w:tab w:val="num" w:pos="1742"/>
        </w:tabs>
        <w:ind w:left="1267" w:firstLine="0"/>
        <w:rPr>
          <w:szCs w:val="22"/>
          <w:lang w:val="es-ES" w:eastAsia="en-US"/>
        </w:rPr>
      </w:pPr>
      <w:r w:rsidRPr="003C7C55">
        <w:rPr>
          <w:noProof/>
          <w:w w:val="100"/>
          <w:lang w:val="es-PY" w:eastAsia="es-PY"/>
        </w:rPr>
        <mc:AlternateContent>
          <mc:Choice Requires="wps">
            <w:drawing>
              <wp:anchor distT="4294967290" distB="4294967290" distL="114300" distR="114300" simplePos="0" relativeHeight="251659264" behindDoc="0" locked="0" layoutInCell="1" allowOverlap="1" wp14:anchorId="5065FF9E" wp14:editId="51156E4C">
                <wp:simplePos x="0" y="0"/>
                <wp:positionH relativeFrom="page">
                  <wp:posOffset>1371219</wp:posOffset>
                </wp:positionH>
                <wp:positionV relativeFrom="paragraph">
                  <wp:posOffset>622274</wp:posOffset>
                </wp:positionV>
                <wp:extent cx="914400" cy="0"/>
                <wp:effectExtent l="0" t="0" r="1905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15E66" id="Straight Connector 6" o:spid="_x0000_s1026" style="position:absolute;z-index:251659264;visibility:visible;mso-wrap-style:square;mso-width-percent:0;mso-height-percent:0;mso-wrap-distance-left:9pt;mso-wrap-distance-top:-17e-5mm;mso-wrap-distance-right:9pt;mso-wrap-distance-bottom:-17e-5mm;mso-position-horizontal:absolute;mso-position-horizontal-relative:page;mso-position-vertical:absolute;mso-position-vertical-relative:text;mso-width-percent:0;mso-height-percent:0;mso-width-relative:page;mso-height-relative:page" from="107.95pt,49pt" to="17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E5gEAACgEAAAOAAAAZHJzL2Uyb0RvYy54bWysU9tu1DAQfUfiHyy/s0lKaSHabB+2Ki8V&#10;rNjyAV7HTixsj2WbTfbvGTsXykVCIPJgxZ4zZ+Ycj7d3o9HkLHxQYBtabUpKhOXQKts19PPTw6u3&#10;lITIbMs0WNHQiwj0bvfyxXZwtbiCHnQrPEESG+rBNbSP0dVFEXgvDAsbcMJiUII3LOLWd0Xr2YDs&#10;RhdXZXlTDOBb54GLEPD0fgrSXeaXUvD4UcogItENxd5iXn1eT2ktdltWd565XvG5DfYPXRimLBZd&#10;qe5ZZOSrV79QGcU9BJBxw8EUIKXiImtANVX5k5pjz5zIWtCc4Fabwv+j5R/OB09U29BbSiwzeEXH&#10;6Jnq+kj2YC0aCJ7cJJ8GF2qE7+3BJ6V8tEf3CPxLwFjxQzBtgptgo/QmwVEqGbPvl9V3MUbC8fBd&#10;dX1d4u3wJVSweslzPsT3AgxJPw3VyiZHWM3OjyGmyqxeIOlYWzI09HV1+yajAmjVPiitUyz47rTX&#10;npxZGoaqxC/pQoZnMNxpOwuaNGQ18aLFxP9JSPQLu66mCmlSxUrLOBc2VjOvtohOaRJbWBPLPyfO&#10;+JQq8hT/TfKakSuDjWuyURb876rHcWlZTvjFgUl3suAE7eXgl7vGcczOzU8nzfvzfU7//sB33wAA&#10;AP//AwBQSwMEFAAGAAgAAAAhABS84MTfAAAACQEAAA8AAABkcnMvZG93bnJldi54bWxMj01PwkAQ&#10;hu8m/ofNmHiTLRjItnRLjEQT4gmUGG5Ld2gbu7NNd4HKr3cMBz3OO0/ej3wxuFacsA+NJw3jUQIC&#10;qfS2oUrDx/vLgwIRoiFrWk+o4RsDLIrbm9xk1p9pjadNrASbUMiMhjrGLpMylDU6E0a+Q+LfwffO&#10;RD77StrenNnctXKSJDPpTEOcUJsOn2ssvzZHp0FdPu1yZd/UctgeXi+d2s3W25XW93fD0xxExCH+&#10;wfBbn6tDwZ32/kg2iFbDZDxNGdWQKt7EwOM0ZWF/FWSRy/8Lih8AAAD//wMAUEsBAi0AFAAGAAgA&#10;AAAhALaDOJL+AAAA4QEAABMAAAAAAAAAAAAAAAAAAAAAAFtDb250ZW50X1R5cGVzXS54bWxQSwEC&#10;LQAUAAYACAAAACEAOP0h/9YAAACUAQAACwAAAAAAAAAAAAAAAAAvAQAAX3JlbHMvLnJlbHNQSwEC&#10;LQAUAAYACAAAACEABuf0xOYBAAAoBAAADgAAAAAAAAAAAAAAAAAuAgAAZHJzL2Uyb0RvYy54bWxQ&#10;SwECLQAUAAYACAAAACEAFLzgxN8AAAAJAQAADwAAAAAAAAAAAAAAAABABAAAZHJzL2Rvd25yZXYu&#10;eG1sUEsFBgAAAAAEAAQA8wAAAEwFAAAAAA==&#10;" strokecolor="#010000" strokeweight=".25pt">
                <o:lock v:ext="edit" shapetype="f"/>
                <w10:wrap anchorx="page"/>
              </v:line>
            </w:pict>
          </mc:Fallback>
        </mc:AlternateContent>
      </w:r>
      <w:r w:rsidR="004E3FF9" w:rsidRPr="003C7C55">
        <w:rPr>
          <w:szCs w:val="22"/>
          <w:lang w:val="es-ES" w:eastAsia="en-US"/>
        </w:rPr>
        <w:t>El Comité acoge con beneplácito los progresos logrados desde el examen, en</w:t>
      </w:r>
      <w:r w:rsidR="0039380A" w:rsidRPr="003C7C55">
        <w:rPr>
          <w:szCs w:val="22"/>
          <w:lang w:val="es-ES" w:eastAsia="en-US"/>
        </w:rPr>
        <w:t> 2011</w:t>
      </w:r>
      <w:r w:rsidR="004E3FF9" w:rsidRPr="003C7C55">
        <w:rPr>
          <w:szCs w:val="22"/>
          <w:lang w:val="es-ES" w:eastAsia="en-US"/>
        </w:rPr>
        <w:t>, del sexto informe periódico del Estado parte (</w:t>
      </w:r>
      <w:hyperlink r:id="rId22" w:history="1">
        <w:r w:rsidR="004E3FF9" w:rsidRPr="003C7C55">
          <w:rPr>
            <w:rStyle w:val="Hipervnculo"/>
            <w:szCs w:val="22"/>
            <w:lang w:val="es-ES" w:eastAsia="en-US"/>
          </w:rPr>
          <w:t>CEDAW/C/PAR/</w:t>
        </w:r>
        <w:r w:rsidR="0039380A" w:rsidRPr="003C7C55">
          <w:rPr>
            <w:rStyle w:val="Hipervnculo"/>
            <w:szCs w:val="22"/>
            <w:lang w:val="es-ES" w:eastAsia="en-US"/>
          </w:rPr>
          <w:t>6</w:t>
        </w:r>
      </w:hyperlink>
      <w:r w:rsidR="004E3FF9" w:rsidRPr="003C7C55">
        <w:rPr>
          <w:szCs w:val="22"/>
          <w:lang w:val="es-ES" w:eastAsia="en-US"/>
        </w:rPr>
        <w:t>) con respecto a la aprobación de reformas legislativas, en particular las siguientes:</w:t>
      </w:r>
      <w:bookmarkEnd w:id="6"/>
    </w:p>
    <w:p w14:paraId="701C6393" w14:textId="47E85191" w:rsidR="004E3FF9" w:rsidRPr="003C7C55" w:rsidRDefault="003C0FE2" w:rsidP="003C0FE2">
      <w:pPr>
        <w:pStyle w:val="SingleTxt"/>
        <w:rPr>
          <w:lang w:val="es-ES" w:eastAsia="en-US"/>
        </w:rPr>
      </w:pPr>
      <w:bookmarkStart w:id="7" w:name="bookmark_1344"/>
      <w:r w:rsidRPr="003C7C55">
        <w:rPr>
          <w:lang w:val="es-ES" w:eastAsia="en-US"/>
        </w:rPr>
        <w:lastRenderedPageBreak/>
        <w:tab/>
        <w:t>a)</w:t>
      </w:r>
      <w:r w:rsidRPr="003C7C55">
        <w:rPr>
          <w:lang w:val="es-ES" w:eastAsia="en-US"/>
        </w:rPr>
        <w:tab/>
      </w:r>
      <w:r w:rsidR="004E3FF9" w:rsidRPr="003C7C55">
        <w:rPr>
          <w:lang w:val="es-ES" w:eastAsia="en-US"/>
        </w:rPr>
        <w:t>La Ley núm</w:t>
      </w:r>
      <w:r w:rsidR="0039380A" w:rsidRPr="003C7C55">
        <w:rPr>
          <w:lang w:val="es-ES" w:eastAsia="en-US"/>
        </w:rPr>
        <w:t xml:space="preserve">. 5777 </w:t>
      </w:r>
      <w:r w:rsidR="004E3FF9" w:rsidRPr="003C7C55">
        <w:rPr>
          <w:lang w:val="es-ES" w:eastAsia="en-US"/>
        </w:rPr>
        <w:t>sobre la protección integral de las mujeres contra toda forma de violencia, en</w:t>
      </w:r>
      <w:r w:rsidR="0039380A" w:rsidRPr="003C7C55">
        <w:rPr>
          <w:lang w:val="es-ES" w:eastAsia="en-US"/>
        </w:rPr>
        <w:t xml:space="preserve"> 2016</w:t>
      </w:r>
      <w:r w:rsidR="004E3FF9" w:rsidRPr="003C7C55">
        <w:rPr>
          <w:lang w:val="es-ES" w:eastAsia="en-US"/>
        </w:rPr>
        <w:t>;</w:t>
      </w:r>
      <w:bookmarkEnd w:id="7"/>
    </w:p>
    <w:p w14:paraId="0C24ED4D" w14:textId="18717F30" w:rsidR="004E3FF9" w:rsidRPr="003C7C55" w:rsidRDefault="003C0FE2" w:rsidP="003C0FE2">
      <w:pPr>
        <w:pStyle w:val="SingleTxt"/>
        <w:rPr>
          <w:lang w:val="es-ES" w:eastAsia="en-US"/>
        </w:rPr>
      </w:pPr>
      <w:bookmarkStart w:id="8" w:name="bookmark_1345"/>
      <w:r w:rsidRPr="003C7C55">
        <w:rPr>
          <w:lang w:val="es-ES" w:eastAsia="en-US"/>
        </w:rPr>
        <w:tab/>
        <w:t>b)</w:t>
      </w:r>
      <w:r w:rsidRPr="003C7C55">
        <w:rPr>
          <w:lang w:val="es-ES" w:eastAsia="en-US"/>
        </w:rPr>
        <w:tab/>
      </w:r>
      <w:r w:rsidR="004E3FF9" w:rsidRPr="003C7C55">
        <w:rPr>
          <w:lang w:val="es-ES" w:eastAsia="en-US"/>
        </w:rPr>
        <w:t>La Ley núm</w:t>
      </w:r>
      <w:r w:rsidR="0039380A" w:rsidRPr="003C7C55">
        <w:rPr>
          <w:lang w:val="es-ES" w:eastAsia="en-US"/>
        </w:rPr>
        <w:t xml:space="preserve">. 5407 </w:t>
      </w:r>
      <w:r w:rsidR="004E3FF9" w:rsidRPr="003C7C55">
        <w:rPr>
          <w:lang w:val="es-ES" w:eastAsia="en-US"/>
        </w:rPr>
        <w:t>sobre el trabajo doméstico, que mejora la protección de los derechos de las trabajadoras domésticas, en</w:t>
      </w:r>
      <w:r w:rsidR="0039380A" w:rsidRPr="003C7C55">
        <w:rPr>
          <w:lang w:val="es-ES" w:eastAsia="en-US"/>
        </w:rPr>
        <w:t xml:space="preserve"> 2015</w:t>
      </w:r>
      <w:r w:rsidR="004E3FF9" w:rsidRPr="003C7C55">
        <w:rPr>
          <w:lang w:val="es-ES" w:eastAsia="en-US"/>
        </w:rPr>
        <w:t>;</w:t>
      </w:r>
      <w:bookmarkEnd w:id="8"/>
    </w:p>
    <w:p w14:paraId="196A94F1" w14:textId="55F9B7C5" w:rsidR="0039380A" w:rsidRPr="003C7C55" w:rsidRDefault="003C0FE2" w:rsidP="003C0FE2">
      <w:pPr>
        <w:pStyle w:val="SingleTxt"/>
        <w:rPr>
          <w:lang w:val="es-ES" w:eastAsia="en-US"/>
        </w:rPr>
      </w:pPr>
      <w:bookmarkStart w:id="9" w:name="bookmark_1346"/>
      <w:r w:rsidRPr="003C7C55">
        <w:rPr>
          <w:lang w:val="es-ES" w:eastAsia="en-US"/>
        </w:rPr>
        <w:tab/>
        <w:t>c)</w:t>
      </w:r>
      <w:r w:rsidRPr="003C7C55">
        <w:rPr>
          <w:lang w:val="es-ES" w:eastAsia="en-US"/>
        </w:rPr>
        <w:tab/>
      </w:r>
      <w:r w:rsidR="004E3FF9" w:rsidRPr="003C7C55">
        <w:rPr>
          <w:lang w:val="es-ES" w:eastAsia="en-US"/>
        </w:rPr>
        <w:t>La Ley núm</w:t>
      </w:r>
      <w:r w:rsidR="0039380A" w:rsidRPr="003C7C55">
        <w:rPr>
          <w:lang w:val="es-ES" w:eastAsia="en-US"/>
        </w:rPr>
        <w:t xml:space="preserve">. 5446 </w:t>
      </w:r>
      <w:r w:rsidR="004E3FF9" w:rsidRPr="003C7C55">
        <w:rPr>
          <w:lang w:val="es-ES" w:eastAsia="en-US"/>
        </w:rPr>
        <w:t>sobre políticas públicas para mujeres rurales, que promueve y garantiza los derechos económicos, sociales, políticos y culturales de las mujeres rurales, en</w:t>
      </w:r>
      <w:r w:rsidR="0039380A" w:rsidRPr="003C7C55">
        <w:rPr>
          <w:lang w:val="es-ES" w:eastAsia="en-US"/>
        </w:rPr>
        <w:t xml:space="preserve"> 2015</w:t>
      </w:r>
      <w:r w:rsidR="004E3FF9" w:rsidRPr="003C7C55">
        <w:rPr>
          <w:lang w:val="es-ES" w:eastAsia="en-US"/>
        </w:rPr>
        <w:t>;</w:t>
      </w:r>
      <w:bookmarkEnd w:id="9"/>
    </w:p>
    <w:p w14:paraId="29F456D5" w14:textId="490DAAA8" w:rsidR="004E3FF9" w:rsidRPr="003C7C55" w:rsidRDefault="003C0FE2" w:rsidP="003C0FE2">
      <w:pPr>
        <w:pStyle w:val="SingleTxt"/>
        <w:rPr>
          <w:lang w:val="es-ES" w:eastAsia="en-US"/>
        </w:rPr>
      </w:pPr>
      <w:bookmarkStart w:id="10" w:name="bookmark_1347"/>
      <w:r w:rsidRPr="003C7C55">
        <w:rPr>
          <w:lang w:val="es-ES" w:eastAsia="en-US"/>
        </w:rPr>
        <w:tab/>
        <w:t>d)</w:t>
      </w:r>
      <w:r w:rsidRPr="003C7C55">
        <w:rPr>
          <w:lang w:val="es-ES" w:eastAsia="en-US"/>
        </w:rPr>
        <w:tab/>
      </w:r>
      <w:r w:rsidR="004E3FF9" w:rsidRPr="003C7C55">
        <w:rPr>
          <w:lang w:val="es-ES" w:eastAsia="en-US"/>
        </w:rPr>
        <w:t>La Ley núm</w:t>
      </w:r>
      <w:r w:rsidR="0039380A" w:rsidRPr="003C7C55">
        <w:rPr>
          <w:lang w:val="es-ES" w:eastAsia="en-US"/>
        </w:rPr>
        <w:t>. 5344</w:t>
      </w:r>
      <w:r w:rsidR="004E3FF9" w:rsidRPr="003C7C55">
        <w:rPr>
          <w:lang w:val="es-ES" w:eastAsia="en-US"/>
        </w:rPr>
        <w:t>, que establece el reposo por maternidad en cargos electivos, en</w:t>
      </w:r>
      <w:r w:rsidR="0039380A" w:rsidRPr="003C7C55">
        <w:rPr>
          <w:lang w:val="es-ES" w:eastAsia="en-US"/>
        </w:rPr>
        <w:t xml:space="preserve"> 2014</w:t>
      </w:r>
      <w:r w:rsidR="004E3FF9" w:rsidRPr="003C7C55">
        <w:rPr>
          <w:lang w:val="es-ES" w:eastAsia="en-US"/>
        </w:rPr>
        <w:t>;</w:t>
      </w:r>
      <w:bookmarkEnd w:id="10"/>
    </w:p>
    <w:p w14:paraId="1DB3EDF1" w14:textId="31BB415C" w:rsidR="004E3FF9" w:rsidRPr="003C7C55" w:rsidRDefault="003C0FE2" w:rsidP="003C0FE2">
      <w:pPr>
        <w:pStyle w:val="SingleTxt"/>
        <w:rPr>
          <w:lang w:val="es-ES" w:eastAsia="en-US"/>
        </w:rPr>
      </w:pPr>
      <w:bookmarkStart w:id="11" w:name="bookmark_1348"/>
      <w:r w:rsidRPr="003C7C55">
        <w:rPr>
          <w:lang w:val="es-ES" w:eastAsia="en-US"/>
        </w:rPr>
        <w:tab/>
        <w:t>e)</w:t>
      </w:r>
      <w:r w:rsidRPr="003C7C55">
        <w:rPr>
          <w:lang w:val="es-ES" w:eastAsia="en-US"/>
        </w:rPr>
        <w:tab/>
      </w:r>
      <w:r w:rsidR="004E3FF9" w:rsidRPr="003C7C55">
        <w:rPr>
          <w:lang w:val="es-ES" w:eastAsia="en-US"/>
        </w:rPr>
        <w:t>La Ley núm</w:t>
      </w:r>
      <w:r w:rsidR="0039380A" w:rsidRPr="003C7C55">
        <w:rPr>
          <w:lang w:val="es-ES" w:eastAsia="en-US"/>
        </w:rPr>
        <w:t xml:space="preserve">. 4788 </w:t>
      </w:r>
      <w:r w:rsidR="004E3FF9" w:rsidRPr="003C7C55">
        <w:rPr>
          <w:lang w:val="es-ES" w:eastAsia="en-US"/>
        </w:rPr>
        <w:t>contra la trata de personas, en</w:t>
      </w:r>
      <w:r w:rsidR="0039380A" w:rsidRPr="003C7C55">
        <w:rPr>
          <w:lang w:val="es-ES" w:eastAsia="en-US"/>
        </w:rPr>
        <w:t xml:space="preserve"> 2012</w:t>
      </w:r>
      <w:r w:rsidR="004E3FF9" w:rsidRPr="003C7C55">
        <w:rPr>
          <w:lang w:val="es-ES" w:eastAsia="en-US"/>
        </w:rPr>
        <w:t>;</w:t>
      </w:r>
      <w:bookmarkEnd w:id="11"/>
    </w:p>
    <w:p w14:paraId="1ABBF1BF" w14:textId="2CA1C87C" w:rsidR="004E3FF9" w:rsidRPr="003C7C55" w:rsidRDefault="003C0FE2" w:rsidP="003C0FE2">
      <w:pPr>
        <w:pStyle w:val="SingleTxt"/>
        <w:rPr>
          <w:lang w:val="es-ES" w:eastAsia="en-US"/>
        </w:rPr>
      </w:pPr>
      <w:bookmarkStart w:id="12" w:name="bookmark_1349"/>
      <w:r w:rsidRPr="003C7C55">
        <w:rPr>
          <w:lang w:val="es-ES" w:eastAsia="en-US"/>
        </w:rPr>
        <w:tab/>
        <w:t>f)</w:t>
      </w:r>
      <w:r w:rsidRPr="003C7C55">
        <w:rPr>
          <w:lang w:val="es-ES" w:eastAsia="en-US"/>
        </w:rPr>
        <w:tab/>
      </w:r>
      <w:r w:rsidR="004E3FF9" w:rsidRPr="003C7C55">
        <w:rPr>
          <w:lang w:val="es-ES" w:eastAsia="en-US"/>
        </w:rPr>
        <w:t>La Ley núm</w:t>
      </w:r>
      <w:r w:rsidR="0039380A" w:rsidRPr="003C7C55">
        <w:rPr>
          <w:lang w:val="es-ES" w:eastAsia="en-US"/>
        </w:rPr>
        <w:t>. 4675</w:t>
      </w:r>
      <w:r w:rsidR="004E3FF9" w:rsidRPr="003C7C55">
        <w:rPr>
          <w:lang w:val="es-ES" w:eastAsia="en-US"/>
        </w:rPr>
        <w:t>, que eleva la Secretaría Nacional de la Mujer al rango de Ministerio de Asuntos de la Mujer, en</w:t>
      </w:r>
      <w:r w:rsidR="0039380A" w:rsidRPr="003C7C55">
        <w:rPr>
          <w:lang w:val="es-ES" w:eastAsia="en-US"/>
        </w:rPr>
        <w:t xml:space="preserve"> 2012.</w:t>
      </w:r>
      <w:bookmarkEnd w:id="12"/>
    </w:p>
    <w:p w14:paraId="3735F2E5" w14:textId="2886ED69" w:rsidR="004E3FF9" w:rsidRPr="003C7C55" w:rsidRDefault="004E3FF9" w:rsidP="009F6113">
      <w:pPr>
        <w:pStyle w:val="SingleTxt"/>
        <w:numPr>
          <w:ilvl w:val="0"/>
          <w:numId w:val="5"/>
        </w:numPr>
        <w:tabs>
          <w:tab w:val="num" w:pos="1742"/>
        </w:tabs>
        <w:ind w:left="1267" w:firstLine="0"/>
        <w:rPr>
          <w:szCs w:val="22"/>
          <w:lang w:val="es-ES" w:eastAsia="en-US"/>
        </w:rPr>
      </w:pPr>
      <w:bookmarkStart w:id="13" w:name="bookmark_1350"/>
      <w:r w:rsidRPr="003C7C55">
        <w:rPr>
          <w:szCs w:val="22"/>
          <w:lang w:val="es-ES" w:eastAsia="en-US"/>
        </w:rPr>
        <w:t>El Comité celebra que el Estado parte se haya comprometido a hacer realidad los Objetivos de Desarrollo Sostenible, así como los esfuerzos realizados para crear un nuevo mecanismo destinado a alcanzar tales objetivos</w:t>
      </w:r>
      <w:r w:rsidR="0039380A" w:rsidRPr="003C7C55">
        <w:rPr>
          <w:szCs w:val="22"/>
          <w:lang w:val="es-ES" w:eastAsia="en-US"/>
        </w:rPr>
        <w:t>.</w:t>
      </w:r>
      <w:r w:rsidRPr="003C7C55">
        <w:rPr>
          <w:szCs w:val="22"/>
          <w:lang w:val="es-ES" w:eastAsia="en-US"/>
        </w:rPr>
        <w:t xml:space="preserve"> Recuerda la importancia del indicador</w:t>
      </w:r>
      <w:r w:rsidR="0039380A" w:rsidRPr="003C7C55">
        <w:rPr>
          <w:szCs w:val="22"/>
          <w:lang w:val="es-ES" w:eastAsia="en-US"/>
        </w:rPr>
        <w:t xml:space="preserve"> 5.1.1 </w:t>
      </w:r>
      <w:r w:rsidRPr="003C7C55">
        <w:rPr>
          <w:szCs w:val="22"/>
          <w:lang w:val="es-ES" w:eastAsia="en-US"/>
        </w:rPr>
        <w:t>y encomia al Estado parte por sus esfuerzos positivos para aplicar las políticas de desarrollo sostenible</w:t>
      </w:r>
      <w:r w:rsidR="0039380A" w:rsidRPr="003C7C55">
        <w:rPr>
          <w:szCs w:val="22"/>
          <w:lang w:val="es-ES" w:eastAsia="en-US"/>
        </w:rPr>
        <w:t>.</w:t>
      </w:r>
      <w:r w:rsidRPr="003C7C55">
        <w:rPr>
          <w:szCs w:val="22"/>
          <w:lang w:val="es-ES" w:eastAsia="en-US"/>
        </w:rPr>
        <w:t xml:space="preserve"> El Comité también acoge con beneplácito los esfuerzos realizados para mejorar </w:t>
      </w:r>
      <w:r w:rsidR="009E5A91" w:rsidRPr="003C7C55">
        <w:rPr>
          <w:szCs w:val="22"/>
          <w:lang w:val="es-ES" w:eastAsia="en-US"/>
        </w:rPr>
        <w:t xml:space="preserve">el </w:t>
      </w:r>
      <w:r w:rsidRPr="003C7C55">
        <w:rPr>
          <w:szCs w:val="22"/>
          <w:lang w:val="es-ES" w:eastAsia="en-US"/>
        </w:rPr>
        <w:t>marco institucional y normativo con el fin de acelerar la eliminación de la discriminación contra la mujer y promover la igualdad de género, como por ejemplo la aprobación de los siguientes planes:</w:t>
      </w:r>
      <w:bookmarkEnd w:id="13"/>
    </w:p>
    <w:p w14:paraId="2BB4121C" w14:textId="77ADD9D6" w:rsidR="004E3FF9" w:rsidRPr="003C7C55" w:rsidRDefault="004E3FF9" w:rsidP="003C0FE2">
      <w:pPr>
        <w:pStyle w:val="SingleTxt"/>
        <w:rPr>
          <w:lang w:val="es-ES" w:eastAsia="en-US"/>
        </w:rPr>
      </w:pPr>
      <w:bookmarkStart w:id="14" w:name="bookmark_1351"/>
      <w:r w:rsidRPr="003C7C55">
        <w:rPr>
          <w:lang w:val="es-ES" w:eastAsia="en-US"/>
        </w:rPr>
        <w:tab/>
        <w:t>a)</w:t>
      </w:r>
      <w:r w:rsidRPr="003C7C55">
        <w:rPr>
          <w:lang w:val="es-ES" w:eastAsia="en-US"/>
        </w:rPr>
        <w:tab/>
        <w:t>Plan trienal para la participación social y política de la mujer, correspondiente al período</w:t>
      </w:r>
      <w:r w:rsidR="0039380A" w:rsidRPr="003C7C55">
        <w:rPr>
          <w:lang w:val="es-ES" w:eastAsia="en-US"/>
        </w:rPr>
        <w:t xml:space="preserve"> 2016-2018</w:t>
      </w:r>
      <w:r w:rsidRPr="003C7C55">
        <w:rPr>
          <w:lang w:val="es-ES" w:eastAsia="en-US"/>
        </w:rPr>
        <w:t>, en</w:t>
      </w:r>
      <w:r w:rsidR="0039380A" w:rsidRPr="003C7C55">
        <w:rPr>
          <w:lang w:val="es-ES" w:eastAsia="en-US"/>
        </w:rPr>
        <w:t xml:space="preserve"> 2015</w:t>
      </w:r>
      <w:r w:rsidRPr="003C7C55">
        <w:rPr>
          <w:lang w:val="es-ES" w:eastAsia="en-US"/>
        </w:rPr>
        <w:t>;</w:t>
      </w:r>
      <w:bookmarkEnd w:id="14"/>
    </w:p>
    <w:p w14:paraId="36278A9F" w14:textId="6282C6F8" w:rsidR="004E3FF9" w:rsidRPr="003C7C55" w:rsidRDefault="004E3FF9" w:rsidP="003C0FE2">
      <w:pPr>
        <w:pStyle w:val="SingleTxt"/>
        <w:rPr>
          <w:lang w:val="es-ES" w:eastAsia="en-US"/>
        </w:rPr>
      </w:pPr>
      <w:bookmarkStart w:id="15" w:name="bookmark_1352"/>
      <w:r w:rsidRPr="003C7C55">
        <w:rPr>
          <w:lang w:val="es-ES" w:eastAsia="en-US"/>
        </w:rPr>
        <w:tab/>
        <w:t>b)</w:t>
      </w:r>
      <w:r w:rsidRPr="003C7C55">
        <w:rPr>
          <w:lang w:val="es-ES" w:eastAsia="en-US"/>
        </w:rPr>
        <w:tab/>
        <w:t>Plan nacional para la prevención, atención, seguimiento de casos y protección a mujeres en situación de violencia, en</w:t>
      </w:r>
      <w:r w:rsidR="0039380A" w:rsidRPr="003C7C55">
        <w:rPr>
          <w:lang w:val="es-ES" w:eastAsia="en-US"/>
        </w:rPr>
        <w:t xml:space="preserve"> 2015</w:t>
      </w:r>
      <w:r w:rsidRPr="003C7C55">
        <w:rPr>
          <w:lang w:val="es-ES" w:eastAsia="en-US"/>
        </w:rPr>
        <w:t>;</w:t>
      </w:r>
      <w:bookmarkEnd w:id="15"/>
    </w:p>
    <w:p w14:paraId="25FDD66C" w14:textId="6C4EA11E" w:rsidR="004E3FF9" w:rsidRPr="003C7C55" w:rsidRDefault="004E3FF9" w:rsidP="003C0FE2">
      <w:pPr>
        <w:pStyle w:val="SingleTxt"/>
        <w:rPr>
          <w:lang w:val="es-ES" w:eastAsia="en-US"/>
        </w:rPr>
      </w:pPr>
      <w:bookmarkStart w:id="16" w:name="bookmark_1353"/>
      <w:r w:rsidRPr="003C7C55">
        <w:rPr>
          <w:lang w:val="es-ES" w:eastAsia="en-US"/>
        </w:rPr>
        <w:tab/>
        <w:t>c)</w:t>
      </w:r>
      <w:r w:rsidRPr="003C7C55">
        <w:rPr>
          <w:lang w:val="es-ES" w:eastAsia="en-US"/>
        </w:rPr>
        <w:tab/>
        <w:t>Plan Nacional de Desarrollo Paraguay</w:t>
      </w:r>
      <w:r w:rsidR="0039380A" w:rsidRPr="003C7C55">
        <w:rPr>
          <w:lang w:val="es-ES" w:eastAsia="en-US"/>
        </w:rPr>
        <w:t xml:space="preserve"> 2030</w:t>
      </w:r>
      <w:r w:rsidRPr="003C7C55">
        <w:rPr>
          <w:lang w:val="es-ES" w:eastAsia="en-US"/>
        </w:rPr>
        <w:t>, que proporciona la igualdad de oportunidades para hombres y mujeres como una cuestión transversal con el objetivo específico de reducir la pobreza extrema, en</w:t>
      </w:r>
      <w:r w:rsidR="0039380A" w:rsidRPr="003C7C55">
        <w:rPr>
          <w:lang w:val="es-ES" w:eastAsia="en-US"/>
        </w:rPr>
        <w:t xml:space="preserve"> 2014.</w:t>
      </w:r>
      <w:bookmarkEnd w:id="16"/>
    </w:p>
    <w:p w14:paraId="1617ACDA" w14:textId="5D8FE13B" w:rsidR="004E3FF9" w:rsidRPr="003C7C55" w:rsidRDefault="004E3FF9" w:rsidP="009F6113">
      <w:pPr>
        <w:pStyle w:val="SingleTxt"/>
        <w:numPr>
          <w:ilvl w:val="0"/>
          <w:numId w:val="5"/>
        </w:numPr>
        <w:tabs>
          <w:tab w:val="num" w:pos="1742"/>
        </w:tabs>
        <w:ind w:left="1267" w:firstLine="0"/>
        <w:rPr>
          <w:szCs w:val="22"/>
          <w:lang w:val="es-ES" w:eastAsia="en-US"/>
        </w:rPr>
      </w:pPr>
      <w:bookmarkStart w:id="17" w:name="bookmark_1354"/>
      <w:r w:rsidRPr="003C7C55">
        <w:rPr>
          <w:szCs w:val="22"/>
          <w:lang w:val="es-ES" w:eastAsia="en-US"/>
        </w:rPr>
        <w:t>El Comité celebra que, en el período transcurrido desde el examen de su informe anterior, el Estado parte haya ratificado el Convenio sobre las Trabajadoras y los Trabajadores Domésticos,</w:t>
      </w:r>
      <w:r w:rsidR="0039380A" w:rsidRPr="003C7C55">
        <w:rPr>
          <w:szCs w:val="22"/>
          <w:lang w:val="es-ES" w:eastAsia="en-US"/>
        </w:rPr>
        <w:t xml:space="preserve"> 2011 </w:t>
      </w:r>
      <w:r w:rsidRPr="003C7C55">
        <w:rPr>
          <w:szCs w:val="22"/>
          <w:lang w:val="es-ES" w:eastAsia="en-US"/>
        </w:rPr>
        <w:t>(núm</w:t>
      </w:r>
      <w:r w:rsidR="0039380A" w:rsidRPr="003C7C55">
        <w:rPr>
          <w:szCs w:val="22"/>
          <w:lang w:val="es-ES" w:eastAsia="en-US"/>
        </w:rPr>
        <w:t>. 189</w:t>
      </w:r>
      <w:r w:rsidRPr="003C7C55">
        <w:rPr>
          <w:szCs w:val="22"/>
          <w:lang w:val="es-ES" w:eastAsia="en-US"/>
        </w:rPr>
        <w:t>), de la Organización Internacional del Trabajo, en</w:t>
      </w:r>
      <w:r w:rsidR="0039380A" w:rsidRPr="003C7C55">
        <w:rPr>
          <w:szCs w:val="22"/>
          <w:lang w:val="es-ES" w:eastAsia="en-US"/>
        </w:rPr>
        <w:t xml:space="preserve"> 2013.</w:t>
      </w:r>
      <w:bookmarkEnd w:id="17"/>
    </w:p>
    <w:p w14:paraId="254EE2D7" w14:textId="77777777" w:rsidR="00182F11" w:rsidRPr="003C7C55" w:rsidRDefault="00182F11" w:rsidP="00182F11">
      <w:pPr>
        <w:pStyle w:val="SingleTxt"/>
        <w:spacing w:after="0" w:line="120" w:lineRule="exact"/>
        <w:rPr>
          <w:sz w:val="10"/>
          <w:szCs w:val="10"/>
          <w:lang w:val="es-ES"/>
        </w:rPr>
      </w:pPr>
    </w:p>
    <w:p w14:paraId="5E611C0F" w14:textId="77777777" w:rsidR="00182F11" w:rsidRPr="003C7C55" w:rsidRDefault="00182F11" w:rsidP="00182F11">
      <w:pPr>
        <w:pStyle w:val="SingleTxt"/>
        <w:spacing w:after="0" w:line="120" w:lineRule="exact"/>
        <w:rPr>
          <w:sz w:val="10"/>
          <w:szCs w:val="10"/>
          <w:lang w:val="es-ES"/>
        </w:rPr>
      </w:pPr>
    </w:p>
    <w:p w14:paraId="4E7E5001" w14:textId="7E0A49A8" w:rsidR="004E3FF9" w:rsidRPr="003C7C55" w:rsidRDefault="004E3FF9" w:rsidP="004E3FF9">
      <w:pPr>
        <w:pStyle w:val="H1"/>
        <w:ind w:right="1260"/>
        <w:rPr>
          <w:bCs w:val="0"/>
          <w:szCs w:val="20"/>
          <w:lang w:val="es-ES" w:eastAsia="en-US"/>
        </w:rPr>
      </w:pPr>
      <w:bookmarkStart w:id="18" w:name="bookmark_1355"/>
      <w:r w:rsidRPr="003C7C55">
        <w:rPr>
          <w:bCs w:val="0"/>
          <w:szCs w:val="20"/>
          <w:lang w:val="es-ES" w:eastAsia="en-US"/>
        </w:rPr>
        <w:tab/>
        <w:t>C</w:t>
      </w:r>
      <w:r w:rsidR="0039380A" w:rsidRPr="003C7C55">
        <w:rPr>
          <w:bCs w:val="0"/>
          <w:szCs w:val="20"/>
          <w:lang w:val="es-ES" w:eastAsia="en-US"/>
        </w:rPr>
        <w:t>.</w:t>
      </w:r>
      <w:r w:rsidRPr="003C7C55">
        <w:rPr>
          <w:bCs w:val="0"/>
          <w:szCs w:val="20"/>
          <w:lang w:val="es-ES" w:eastAsia="en-US"/>
        </w:rPr>
        <w:tab/>
        <w:t>Parlamento</w:t>
      </w:r>
      <w:bookmarkEnd w:id="18"/>
    </w:p>
    <w:p w14:paraId="5ED0070F" w14:textId="77777777" w:rsidR="00182F11" w:rsidRPr="003C7C55" w:rsidRDefault="00182F11" w:rsidP="00182F11">
      <w:pPr>
        <w:pStyle w:val="SingleTxt"/>
        <w:spacing w:after="0" w:line="120" w:lineRule="exact"/>
        <w:rPr>
          <w:sz w:val="10"/>
          <w:szCs w:val="10"/>
          <w:lang w:val="es-ES"/>
        </w:rPr>
      </w:pPr>
    </w:p>
    <w:p w14:paraId="6DABBC56" w14:textId="77777777" w:rsidR="00182F11" w:rsidRPr="003C7C55" w:rsidRDefault="00182F11" w:rsidP="00182F11">
      <w:pPr>
        <w:pStyle w:val="SingleTxt"/>
        <w:spacing w:after="0" w:line="120" w:lineRule="exact"/>
        <w:rPr>
          <w:sz w:val="10"/>
          <w:szCs w:val="10"/>
          <w:lang w:val="es-ES"/>
        </w:rPr>
      </w:pPr>
    </w:p>
    <w:p w14:paraId="7065330A" w14:textId="265A4CC0" w:rsidR="004E3FF9" w:rsidRPr="003C7C55" w:rsidRDefault="004E3FF9" w:rsidP="009F6113">
      <w:pPr>
        <w:pStyle w:val="SingleTxt"/>
        <w:numPr>
          <w:ilvl w:val="0"/>
          <w:numId w:val="5"/>
        </w:numPr>
        <w:tabs>
          <w:tab w:val="num" w:pos="1742"/>
        </w:tabs>
        <w:ind w:left="1267" w:firstLine="0"/>
        <w:rPr>
          <w:b/>
          <w:szCs w:val="22"/>
          <w:lang w:val="es-ES" w:eastAsia="en-US"/>
        </w:rPr>
      </w:pPr>
      <w:bookmarkStart w:id="19" w:name="bookmark_1356"/>
      <w:r w:rsidRPr="003C7C55">
        <w:rPr>
          <w:b/>
          <w:szCs w:val="22"/>
          <w:lang w:val="es-ES" w:eastAsia="en-US"/>
        </w:rPr>
        <w:t>El Comité destaca el papel crucial que desempeña el poder legislativo a la hora de garantizar la plena aplicación de la Convención (véase la declaración del Comité sobre su relación con los parlamentarios, aprobada en el</w:t>
      </w:r>
      <w:r w:rsidR="0039380A" w:rsidRPr="003C7C55">
        <w:rPr>
          <w:b/>
          <w:szCs w:val="22"/>
          <w:lang w:val="es-ES" w:eastAsia="en-US"/>
        </w:rPr>
        <w:t xml:space="preserve"> 45</w:t>
      </w:r>
      <w:r w:rsidRPr="003C7C55">
        <w:rPr>
          <w:b/>
          <w:szCs w:val="22"/>
          <w:lang w:val="es-ES" w:eastAsia="en-US"/>
        </w:rPr>
        <w:t>º período de sesiones, en</w:t>
      </w:r>
      <w:r w:rsidR="0039380A" w:rsidRPr="003C7C55">
        <w:rPr>
          <w:b/>
          <w:szCs w:val="22"/>
          <w:lang w:val="es-ES" w:eastAsia="en-US"/>
        </w:rPr>
        <w:t xml:space="preserve"> 2010</w:t>
      </w:r>
      <w:r w:rsidRPr="003C7C55">
        <w:rPr>
          <w:b/>
          <w:szCs w:val="22"/>
          <w:lang w:val="es-ES" w:eastAsia="en-US"/>
        </w:rPr>
        <w:t>)</w:t>
      </w:r>
      <w:r w:rsidR="0039380A" w:rsidRPr="003C7C55">
        <w:rPr>
          <w:b/>
          <w:szCs w:val="22"/>
          <w:lang w:val="es-ES" w:eastAsia="en-US"/>
        </w:rPr>
        <w:t>.</w:t>
      </w:r>
      <w:r w:rsidRPr="003C7C55">
        <w:rPr>
          <w:b/>
          <w:szCs w:val="22"/>
          <w:lang w:val="es-ES" w:eastAsia="en-US"/>
        </w:rPr>
        <w:t xml:space="preserve"> El Comité invita al Parlamento a que, de conformidad con su mandato, adopte las medidas necesarias respecto a la aplicación de las</w:t>
      </w:r>
      <w:r w:rsidR="0039380A" w:rsidRPr="003C7C55">
        <w:rPr>
          <w:b/>
          <w:szCs w:val="22"/>
          <w:lang w:val="es-ES" w:eastAsia="en-US"/>
        </w:rPr>
        <w:t xml:space="preserve"> </w:t>
      </w:r>
      <w:r w:rsidRPr="003C7C55">
        <w:rPr>
          <w:b/>
          <w:szCs w:val="22"/>
          <w:lang w:val="es-ES" w:eastAsia="en-US"/>
        </w:rPr>
        <w:t>presentes observaciones finales desde el momento actual hasta el próximo período de presentación de informes con arreglo a la Convención</w:t>
      </w:r>
      <w:r w:rsidR="0039380A" w:rsidRPr="003C7C55">
        <w:rPr>
          <w:b/>
          <w:szCs w:val="22"/>
          <w:lang w:val="es-ES" w:eastAsia="en-US"/>
        </w:rPr>
        <w:t>.</w:t>
      </w:r>
      <w:bookmarkEnd w:id="19"/>
    </w:p>
    <w:p w14:paraId="7563F3F3" w14:textId="77777777" w:rsidR="00182F11" w:rsidRPr="003C7C55" w:rsidRDefault="00182F11" w:rsidP="00182F11">
      <w:pPr>
        <w:pStyle w:val="SingleTxt"/>
        <w:spacing w:after="0" w:line="120" w:lineRule="exact"/>
        <w:rPr>
          <w:sz w:val="10"/>
          <w:szCs w:val="10"/>
          <w:lang w:val="es-ES"/>
        </w:rPr>
      </w:pPr>
      <w:bookmarkStart w:id="20" w:name="bookmark_1357"/>
    </w:p>
    <w:p w14:paraId="1692B215" w14:textId="77777777" w:rsidR="00182F11" w:rsidRPr="003C7C55" w:rsidRDefault="00182F11" w:rsidP="00182F11">
      <w:pPr>
        <w:pStyle w:val="SingleTxt"/>
        <w:spacing w:after="0" w:line="120" w:lineRule="exact"/>
        <w:rPr>
          <w:sz w:val="10"/>
          <w:szCs w:val="10"/>
          <w:lang w:val="es-ES"/>
        </w:rPr>
      </w:pPr>
    </w:p>
    <w:p w14:paraId="14C68C66" w14:textId="14E18AF9" w:rsidR="004E3FF9" w:rsidRPr="003C7C55" w:rsidRDefault="004E3FF9" w:rsidP="004E3FF9">
      <w:pPr>
        <w:pStyle w:val="H1"/>
        <w:ind w:right="1260"/>
        <w:rPr>
          <w:bCs w:val="0"/>
          <w:szCs w:val="20"/>
          <w:lang w:val="es-ES" w:eastAsia="en-US"/>
        </w:rPr>
      </w:pPr>
      <w:r w:rsidRPr="003C7C55">
        <w:rPr>
          <w:bCs w:val="0"/>
          <w:szCs w:val="20"/>
          <w:lang w:val="es-ES" w:eastAsia="en-US"/>
        </w:rPr>
        <w:tab/>
        <w:t>D</w:t>
      </w:r>
      <w:r w:rsidR="0039380A" w:rsidRPr="003C7C55">
        <w:rPr>
          <w:bCs w:val="0"/>
          <w:szCs w:val="20"/>
          <w:lang w:val="es-ES" w:eastAsia="en-US"/>
        </w:rPr>
        <w:t>.</w:t>
      </w:r>
      <w:r w:rsidRPr="003C7C55">
        <w:rPr>
          <w:bCs w:val="0"/>
          <w:szCs w:val="20"/>
          <w:lang w:val="es-ES" w:eastAsia="en-US"/>
        </w:rPr>
        <w:tab/>
        <w:t>Principales esferas de preocupación y recomendaciones</w:t>
      </w:r>
      <w:bookmarkEnd w:id="20"/>
    </w:p>
    <w:p w14:paraId="2004E472" w14:textId="77777777" w:rsidR="00182F11" w:rsidRPr="003C7C55" w:rsidRDefault="00182F11" w:rsidP="00182F11">
      <w:pPr>
        <w:pStyle w:val="SingleTxt"/>
        <w:spacing w:after="0" w:line="120" w:lineRule="exact"/>
        <w:rPr>
          <w:sz w:val="10"/>
          <w:szCs w:val="10"/>
          <w:lang w:val="es-ES"/>
        </w:rPr>
      </w:pPr>
    </w:p>
    <w:p w14:paraId="76BCB683" w14:textId="77777777" w:rsidR="00182F11" w:rsidRPr="003C7C55" w:rsidRDefault="00182F11" w:rsidP="00182F11">
      <w:pPr>
        <w:pStyle w:val="SingleTxt"/>
        <w:spacing w:after="0" w:line="120" w:lineRule="exact"/>
        <w:rPr>
          <w:sz w:val="10"/>
          <w:szCs w:val="10"/>
          <w:lang w:val="es-ES"/>
        </w:rPr>
      </w:pPr>
    </w:p>
    <w:p w14:paraId="4F458B3A" w14:textId="77777777" w:rsidR="0039380A" w:rsidRPr="003C7C55" w:rsidRDefault="004E3FF9" w:rsidP="003C0FE2">
      <w:pPr>
        <w:pStyle w:val="H23"/>
        <w:ind w:right="1260"/>
        <w:rPr>
          <w:bCs w:val="0"/>
          <w:lang w:val="es-ES" w:eastAsia="en-US"/>
        </w:rPr>
      </w:pPr>
      <w:bookmarkStart w:id="21" w:name="bookmark_1358"/>
      <w:r w:rsidRPr="003C7C55">
        <w:rPr>
          <w:bCs w:val="0"/>
          <w:lang w:val="es-ES" w:eastAsia="en-US"/>
        </w:rPr>
        <w:tab/>
      </w:r>
      <w:r w:rsidRPr="003C7C55">
        <w:rPr>
          <w:bCs w:val="0"/>
          <w:lang w:val="es-ES" w:eastAsia="en-US"/>
        </w:rPr>
        <w:tab/>
        <w:t>Regresión en la promoción de la igualdad de género</w:t>
      </w:r>
      <w:bookmarkEnd w:id="21"/>
    </w:p>
    <w:p w14:paraId="23ED8680" w14:textId="28E0B326" w:rsidR="00182F11" w:rsidRPr="003C7C55" w:rsidRDefault="00182F11" w:rsidP="00182F11">
      <w:pPr>
        <w:pStyle w:val="SingleTxt"/>
        <w:spacing w:after="0" w:line="120" w:lineRule="exact"/>
        <w:rPr>
          <w:sz w:val="10"/>
          <w:szCs w:val="10"/>
          <w:lang w:val="es-ES"/>
        </w:rPr>
      </w:pPr>
    </w:p>
    <w:p w14:paraId="6D988E3F" w14:textId="4E3A18E7" w:rsidR="0039380A" w:rsidRPr="003C7C55" w:rsidRDefault="004E3FF9" w:rsidP="009F6113">
      <w:pPr>
        <w:pStyle w:val="SingleTxt"/>
        <w:numPr>
          <w:ilvl w:val="0"/>
          <w:numId w:val="5"/>
        </w:numPr>
        <w:tabs>
          <w:tab w:val="num" w:pos="1742"/>
        </w:tabs>
        <w:ind w:left="1267" w:firstLine="0"/>
        <w:rPr>
          <w:szCs w:val="22"/>
          <w:lang w:val="es-ES" w:eastAsia="en-US"/>
        </w:rPr>
      </w:pPr>
      <w:bookmarkStart w:id="22" w:name="bookmark_1359"/>
      <w:r w:rsidRPr="003C7C55">
        <w:rPr>
          <w:szCs w:val="22"/>
          <w:lang w:val="es-ES" w:eastAsia="en-US"/>
        </w:rPr>
        <w:t>El Comité está preocupado por los movimientos antigénero que tratan de excluir las referencias a las cuestiones de género del discurso político, educativo y social en el Estado parte</w:t>
      </w:r>
      <w:r w:rsidR="0039380A" w:rsidRPr="003C7C55">
        <w:rPr>
          <w:szCs w:val="22"/>
          <w:lang w:val="es-ES" w:eastAsia="en-US"/>
        </w:rPr>
        <w:t>.</w:t>
      </w:r>
      <w:r w:rsidRPr="003C7C55">
        <w:rPr>
          <w:szCs w:val="22"/>
          <w:lang w:val="es-ES" w:eastAsia="en-US"/>
        </w:rPr>
        <w:t xml:space="preserve"> También le preocupa la prohibición impuesta por el </w:t>
      </w:r>
      <w:r w:rsidRPr="003C7C55">
        <w:rPr>
          <w:szCs w:val="22"/>
          <w:lang w:val="es-ES" w:eastAsia="en-US"/>
        </w:rPr>
        <w:lastRenderedPageBreak/>
        <w:t xml:space="preserve">Ministerio de Educación y Ciencias contra la difusión y el uso de material educativo que haga referencia a </w:t>
      </w:r>
      <w:r w:rsidR="00182F11" w:rsidRPr="003C7C55">
        <w:rPr>
          <w:szCs w:val="22"/>
          <w:lang w:val="es-ES" w:eastAsia="en-US"/>
        </w:rPr>
        <w:t>“</w:t>
      </w:r>
      <w:r w:rsidRPr="003C7C55">
        <w:rPr>
          <w:szCs w:val="22"/>
          <w:lang w:val="es-ES" w:eastAsia="en-US"/>
        </w:rPr>
        <w:t>la teoría de género</w:t>
      </w:r>
      <w:r w:rsidR="00182F11" w:rsidRPr="003C7C55">
        <w:rPr>
          <w:szCs w:val="22"/>
          <w:lang w:val="es-ES" w:eastAsia="en-US"/>
        </w:rPr>
        <w:t>”</w:t>
      </w:r>
      <w:r w:rsidRPr="003C7C55">
        <w:rPr>
          <w:szCs w:val="22"/>
          <w:lang w:val="es-ES" w:eastAsia="en-US"/>
        </w:rPr>
        <w:t xml:space="preserve"> o la </w:t>
      </w:r>
      <w:r w:rsidR="00182F11" w:rsidRPr="003C7C55">
        <w:rPr>
          <w:szCs w:val="22"/>
          <w:lang w:val="es-ES" w:eastAsia="en-US"/>
        </w:rPr>
        <w:t>“</w:t>
      </w:r>
      <w:r w:rsidRPr="003C7C55">
        <w:rPr>
          <w:szCs w:val="22"/>
          <w:lang w:val="es-ES" w:eastAsia="en-US"/>
        </w:rPr>
        <w:t>ideología de género</w:t>
      </w:r>
      <w:r w:rsidR="00182F11" w:rsidRPr="003C7C55">
        <w:rPr>
          <w:szCs w:val="22"/>
          <w:lang w:val="es-ES" w:eastAsia="en-US"/>
        </w:rPr>
        <w:t>”</w:t>
      </w:r>
      <w:r w:rsidRPr="003C7C55">
        <w:rPr>
          <w:szCs w:val="22"/>
          <w:lang w:val="es-ES" w:eastAsia="en-US"/>
        </w:rPr>
        <w:t>, con arreglo a la resolución núm</w:t>
      </w:r>
      <w:r w:rsidR="0039380A" w:rsidRPr="003C7C55">
        <w:rPr>
          <w:szCs w:val="22"/>
          <w:lang w:val="es-ES" w:eastAsia="en-US"/>
        </w:rPr>
        <w:t xml:space="preserve">. 29664 </w:t>
      </w:r>
      <w:r w:rsidRPr="003C7C55">
        <w:rPr>
          <w:szCs w:val="22"/>
          <w:lang w:val="es-ES" w:eastAsia="en-US"/>
        </w:rPr>
        <w:t xml:space="preserve">del Ministerio, y la ausencia total del término </w:t>
      </w:r>
      <w:r w:rsidR="00182F11" w:rsidRPr="003C7C55">
        <w:rPr>
          <w:szCs w:val="22"/>
          <w:lang w:val="es-ES" w:eastAsia="en-US"/>
        </w:rPr>
        <w:t>“</w:t>
      </w:r>
      <w:r w:rsidRPr="003C7C55">
        <w:rPr>
          <w:szCs w:val="22"/>
          <w:lang w:val="es-ES" w:eastAsia="en-US"/>
        </w:rPr>
        <w:t>género</w:t>
      </w:r>
      <w:r w:rsidR="00182F11" w:rsidRPr="003C7C55">
        <w:rPr>
          <w:szCs w:val="22"/>
          <w:lang w:val="es-ES" w:eastAsia="en-US"/>
        </w:rPr>
        <w:t>”</w:t>
      </w:r>
      <w:r w:rsidRPr="003C7C55">
        <w:rPr>
          <w:szCs w:val="22"/>
          <w:lang w:val="es-ES" w:eastAsia="en-US"/>
        </w:rPr>
        <w:t xml:space="preserve"> en la Ley sobre la protección integral de las mujeres contra toda forma de violencia</w:t>
      </w:r>
      <w:r w:rsidR="0039380A" w:rsidRPr="003C7C55">
        <w:rPr>
          <w:szCs w:val="22"/>
          <w:lang w:val="es-ES" w:eastAsia="en-US"/>
        </w:rPr>
        <w:t>.</w:t>
      </w:r>
      <w:r w:rsidRPr="003C7C55">
        <w:rPr>
          <w:szCs w:val="22"/>
          <w:lang w:val="es-ES" w:eastAsia="en-US"/>
        </w:rPr>
        <w:t xml:space="preserve"> También preocupa al Comité el proyecto de ley sobre la protección de la familia, que incluye propuestas que podrían conducir a un retroceso, reforzando las actitudes estereotipadas acerca de las funciones y responsabilidades de las mujeres y los hombres en la familia</w:t>
      </w:r>
      <w:r w:rsidR="0039380A" w:rsidRPr="003C7C55">
        <w:rPr>
          <w:szCs w:val="22"/>
          <w:lang w:val="es-ES" w:eastAsia="en-US"/>
        </w:rPr>
        <w:t>.</w:t>
      </w:r>
      <w:r w:rsidRPr="003C7C55">
        <w:rPr>
          <w:szCs w:val="22"/>
          <w:lang w:val="es-ES" w:eastAsia="en-US"/>
        </w:rPr>
        <w:t xml:space="preserve"> Otro motivo de preocupación es la propuesta de crear un Ministerio de la Familia, que podría obstaculizar el mandato del Ministerio de la Mujer y los recursos que se le asignan</w:t>
      </w:r>
      <w:r w:rsidR="0039380A" w:rsidRPr="003C7C55">
        <w:rPr>
          <w:szCs w:val="22"/>
          <w:lang w:val="es-ES" w:eastAsia="en-US"/>
        </w:rPr>
        <w:t>.</w:t>
      </w:r>
      <w:r w:rsidRPr="003C7C55">
        <w:rPr>
          <w:szCs w:val="22"/>
          <w:lang w:val="es-ES" w:eastAsia="en-US"/>
        </w:rPr>
        <w:t xml:space="preserve"> El Comité considera que el Estado parte se enfrenta a una respuesta negativa con respecto a los derechos de la mujer en la legislación y en la vida política y cotidiana que puede socavar los logros alcanzados durante los últimos años en la promoción de la igualdad de género</w:t>
      </w:r>
      <w:r w:rsidR="0039380A" w:rsidRPr="003C7C55">
        <w:rPr>
          <w:szCs w:val="22"/>
          <w:lang w:val="es-ES" w:eastAsia="en-US"/>
        </w:rPr>
        <w:t>.</w:t>
      </w:r>
      <w:bookmarkEnd w:id="22"/>
    </w:p>
    <w:p w14:paraId="3CCFD909" w14:textId="39FB026B" w:rsidR="004E3FF9" w:rsidRPr="003C7C55" w:rsidRDefault="004E3FF9" w:rsidP="009F6113">
      <w:pPr>
        <w:pStyle w:val="SingleTxt"/>
        <w:numPr>
          <w:ilvl w:val="0"/>
          <w:numId w:val="5"/>
        </w:numPr>
        <w:tabs>
          <w:tab w:val="num" w:pos="1742"/>
        </w:tabs>
        <w:ind w:left="1267" w:firstLine="0"/>
        <w:rPr>
          <w:b/>
          <w:szCs w:val="22"/>
          <w:lang w:val="es-ES" w:eastAsia="en-US"/>
        </w:rPr>
      </w:pPr>
      <w:bookmarkStart w:id="23" w:name="bookmark_1360"/>
      <w:r w:rsidRPr="003C7C55">
        <w:rPr>
          <w:b/>
          <w:szCs w:val="22"/>
          <w:lang w:val="es-ES" w:eastAsia="en-US"/>
        </w:rPr>
        <w:t>El Comité recomienda al Estado parte que:</w:t>
      </w:r>
      <w:bookmarkEnd w:id="23"/>
    </w:p>
    <w:p w14:paraId="0CC60617" w14:textId="798DF99D" w:rsidR="004E3FF9" w:rsidRPr="003C7C55" w:rsidRDefault="003C0FE2" w:rsidP="003C0FE2">
      <w:pPr>
        <w:pStyle w:val="SingleTxt"/>
        <w:rPr>
          <w:lang w:val="es-ES" w:eastAsia="en-US"/>
        </w:rPr>
      </w:pPr>
      <w:bookmarkStart w:id="24" w:name="bookmark_1361"/>
      <w:r w:rsidRPr="003C7C55">
        <w:rPr>
          <w:lang w:val="es-ES" w:eastAsia="en-US"/>
        </w:rPr>
        <w:tab/>
        <w:t>a)</w:t>
      </w:r>
      <w:r w:rsidRPr="003C7C55">
        <w:rPr>
          <w:lang w:val="es-ES" w:eastAsia="en-US"/>
        </w:rPr>
        <w:tab/>
      </w:r>
      <w:r w:rsidR="004E3FF9" w:rsidRPr="003C7C55">
        <w:rPr>
          <w:b/>
          <w:lang w:val="es-ES" w:eastAsia="en-US"/>
        </w:rPr>
        <w:t>Adopte medidas para combatir los ataques contra la igualdad de género en el discurso público y derogue la resolución núm</w:t>
      </w:r>
      <w:r w:rsidR="0039380A" w:rsidRPr="003C7C55">
        <w:rPr>
          <w:b/>
          <w:lang w:val="es-ES" w:eastAsia="en-US"/>
        </w:rPr>
        <w:t xml:space="preserve">. 29664 </w:t>
      </w:r>
      <w:r w:rsidR="004E3FF9" w:rsidRPr="003C7C55">
        <w:rPr>
          <w:b/>
          <w:lang w:val="es-ES" w:eastAsia="en-US"/>
        </w:rPr>
        <w:t>del Ministerio de Educación y Ciencias;</w:t>
      </w:r>
      <w:bookmarkEnd w:id="24"/>
    </w:p>
    <w:p w14:paraId="23E44F56" w14:textId="77777777" w:rsidR="004E3FF9" w:rsidRPr="003C7C55" w:rsidRDefault="003C0FE2" w:rsidP="003C0FE2">
      <w:pPr>
        <w:pStyle w:val="SingleTxt"/>
        <w:rPr>
          <w:lang w:val="es-ES" w:eastAsia="en-US"/>
        </w:rPr>
      </w:pPr>
      <w:bookmarkStart w:id="25" w:name="bookmark_1362"/>
      <w:r w:rsidRPr="003C7C55">
        <w:rPr>
          <w:lang w:val="es-ES" w:eastAsia="en-US"/>
        </w:rPr>
        <w:tab/>
        <w:t>b)</w:t>
      </w:r>
      <w:r w:rsidRPr="003C7C55">
        <w:rPr>
          <w:lang w:val="es-ES" w:eastAsia="en-US"/>
        </w:rPr>
        <w:tab/>
      </w:r>
      <w:r w:rsidR="004E3FF9" w:rsidRPr="003C7C55">
        <w:rPr>
          <w:b/>
          <w:lang w:val="es-ES" w:eastAsia="en-US"/>
        </w:rPr>
        <w:t>Amplíe la creación de capacidad en materia de igualdad de género para los funcionarios gubernamentales, los parlamentarios, los dirigentes de los partidos políticos y de los movimientos religiosos y los agentes de los medios de comunicación públicos y privados;</w:t>
      </w:r>
      <w:bookmarkEnd w:id="25"/>
    </w:p>
    <w:p w14:paraId="08C46BD0" w14:textId="47E45C4F" w:rsidR="004E3FF9" w:rsidRPr="003C7C55" w:rsidRDefault="003C0FE2" w:rsidP="003C0FE2">
      <w:pPr>
        <w:pStyle w:val="SingleTxt"/>
        <w:rPr>
          <w:lang w:val="es-ES" w:eastAsia="en-US"/>
        </w:rPr>
      </w:pPr>
      <w:bookmarkStart w:id="26" w:name="bookmark_1363"/>
      <w:r w:rsidRPr="003C7C55">
        <w:rPr>
          <w:lang w:val="es-ES" w:eastAsia="en-US"/>
        </w:rPr>
        <w:tab/>
        <w:t>c)</w:t>
      </w:r>
      <w:r w:rsidRPr="003C7C55">
        <w:rPr>
          <w:lang w:val="es-ES" w:eastAsia="en-US"/>
        </w:rPr>
        <w:tab/>
      </w:r>
      <w:r w:rsidR="004E3FF9" w:rsidRPr="003C7C55">
        <w:rPr>
          <w:b/>
          <w:lang w:val="es-ES" w:eastAsia="en-US"/>
        </w:rPr>
        <w:t>Garantice que tengan lugar las consultas y la colaboración necesarias con una amplia base de representantes de la sociedad civil a la hora de formular leyes, políticas y programas con respecto a la eliminación de la discriminación por razón de género y la promoción de la igualdad de género</w:t>
      </w:r>
      <w:r w:rsidR="0039380A" w:rsidRPr="003C7C55">
        <w:rPr>
          <w:b/>
          <w:lang w:val="es-ES" w:eastAsia="en-US"/>
        </w:rPr>
        <w:t>.</w:t>
      </w:r>
      <w:bookmarkEnd w:id="26"/>
    </w:p>
    <w:p w14:paraId="7268CEAB" w14:textId="77777777" w:rsidR="00182F11" w:rsidRPr="003C7C55" w:rsidRDefault="00182F11" w:rsidP="00182F11">
      <w:pPr>
        <w:pStyle w:val="SingleTxt"/>
        <w:spacing w:after="0" w:line="120" w:lineRule="exact"/>
        <w:rPr>
          <w:sz w:val="10"/>
          <w:szCs w:val="10"/>
          <w:lang w:val="es-ES"/>
        </w:rPr>
      </w:pPr>
      <w:bookmarkStart w:id="27" w:name="bookmark_1364"/>
    </w:p>
    <w:p w14:paraId="39CD7A98"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Marco jurídico e institucional</w:t>
      </w:r>
      <w:bookmarkEnd w:id="27"/>
    </w:p>
    <w:p w14:paraId="1AE4F875" w14:textId="77777777" w:rsidR="00182F11" w:rsidRPr="003C7C55" w:rsidRDefault="00182F11" w:rsidP="00182F11">
      <w:pPr>
        <w:pStyle w:val="SingleTxt"/>
        <w:spacing w:after="0" w:line="120" w:lineRule="exact"/>
        <w:rPr>
          <w:sz w:val="10"/>
          <w:szCs w:val="10"/>
          <w:lang w:val="es-ES"/>
        </w:rPr>
      </w:pPr>
    </w:p>
    <w:p w14:paraId="5D1C4ECF" w14:textId="02781FEC" w:rsidR="004E3FF9" w:rsidRPr="003C7C55" w:rsidRDefault="004E3FF9" w:rsidP="009F6113">
      <w:pPr>
        <w:pStyle w:val="SingleTxt"/>
        <w:numPr>
          <w:ilvl w:val="0"/>
          <w:numId w:val="5"/>
        </w:numPr>
        <w:tabs>
          <w:tab w:val="num" w:pos="1742"/>
        </w:tabs>
        <w:ind w:left="1267" w:firstLine="0"/>
        <w:rPr>
          <w:szCs w:val="22"/>
          <w:lang w:val="es-ES" w:eastAsia="en-US"/>
        </w:rPr>
      </w:pPr>
      <w:bookmarkStart w:id="28" w:name="bookmark_1365"/>
      <w:r w:rsidRPr="003C7C55">
        <w:rPr>
          <w:szCs w:val="22"/>
          <w:lang w:val="es-ES" w:eastAsia="en-US"/>
        </w:rPr>
        <w:t>El Comité sigue preocupado por las demoras en la aprobación de diversas leyes, incluida la ley de lucha contra la discriminación</w:t>
      </w:r>
      <w:r w:rsidR="0039380A" w:rsidRPr="003C7C55">
        <w:rPr>
          <w:szCs w:val="22"/>
          <w:lang w:val="es-ES" w:eastAsia="en-US"/>
        </w:rPr>
        <w:t>.</w:t>
      </w:r>
      <w:r w:rsidRPr="003C7C55">
        <w:rPr>
          <w:szCs w:val="22"/>
          <w:lang w:val="es-ES" w:eastAsia="en-US"/>
        </w:rPr>
        <w:t xml:space="preserve"> También le inquieta la insuficiente aplicación de las disposiciones de la legislación vigente y el hecho de que este vacío legislativo pueda dar lugar a una falta de medidas concretas para la realización de los derechos de la mujer en el Estado parte, especialmente de aquellas que se enfrentan a formas interrelacionadas de discriminación</w:t>
      </w:r>
      <w:r w:rsidR="0039380A" w:rsidRPr="003C7C55">
        <w:rPr>
          <w:szCs w:val="22"/>
          <w:lang w:val="es-ES" w:eastAsia="en-US"/>
        </w:rPr>
        <w:t>.</w:t>
      </w:r>
      <w:bookmarkEnd w:id="28"/>
    </w:p>
    <w:p w14:paraId="22083EC8" w14:textId="07B34BE8" w:rsidR="004E3FF9" w:rsidRPr="003C7C55" w:rsidRDefault="004E3FF9" w:rsidP="009F6113">
      <w:pPr>
        <w:pStyle w:val="SingleTxt"/>
        <w:numPr>
          <w:ilvl w:val="0"/>
          <w:numId w:val="5"/>
        </w:numPr>
        <w:tabs>
          <w:tab w:val="num" w:pos="1742"/>
        </w:tabs>
        <w:ind w:left="1267" w:firstLine="0"/>
        <w:rPr>
          <w:b/>
          <w:szCs w:val="22"/>
          <w:lang w:val="es-ES" w:eastAsia="en-US"/>
        </w:rPr>
      </w:pPr>
      <w:bookmarkStart w:id="29" w:name="bookmark_1366"/>
      <w:r w:rsidRPr="003C7C55">
        <w:rPr>
          <w:b/>
          <w:szCs w:val="22"/>
          <w:lang w:val="es-ES" w:eastAsia="en-US"/>
        </w:rPr>
        <w:t>El Comité, recordando sus anteriores observaciones finales (</w:t>
      </w:r>
      <w:hyperlink r:id="rId23" w:history="1">
        <w:r w:rsidRPr="003C7C55">
          <w:rPr>
            <w:rStyle w:val="Hipervnculo"/>
            <w:b/>
            <w:szCs w:val="22"/>
            <w:lang w:val="es-ES" w:eastAsia="en-US"/>
          </w:rPr>
          <w:t>CEDAW/C/PRY/CO/</w:t>
        </w:r>
        <w:r w:rsidR="0039380A" w:rsidRPr="003C7C55">
          <w:rPr>
            <w:rStyle w:val="Hipervnculo"/>
            <w:b/>
            <w:szCs w:val="22"/>
            <w:lang w:val="es-ES" w:eastAsia="en-US"/>
          </w:rPr>
          <w:t>6</w:t>
        </w:r>
      </w:hyperlink>
      <w:r w:rsidRPr="003C7C55">
        <w:rPr>
          <w:b/>
          <w:szCs w:val="22"/>
          <w:lang w:val="es-ES" w:eastAsia="en-US"/>
        </w:rPr>
        <w:t>, párr</w:t>
      </w:r>
      <w:r w:rsidR="0039380A" w:rsidRPr="003C7C55">
        <w:rPr>
          <w:b/>
          <w:szCs w:val="22"/>
          <w:lang w:val="es-ES" w:eastAsia="en-US"/>
        </w:rPr>
        <w:t>. 13</w:t>
      </w:r>
      <w:r w:rsidRPr="003C7C55">
        <w:rPr>
          <w:b/>
          <w:szCs w:val="22"/>
          <w:lang w:val="es-ES" w:eastAsia="en-US"/>
        </w:rPr>
        <w:t>), recomienda al Estado parte que agilice la aprobación del proyecto de ley que prohíbe todas las formas de discriminación, que debería incluir una definición de discriminación, de conformidad con el artículo</w:t>
      </w:r>
      <w:r w:rsidR="0039380A" w:rsidRPr="003C7C55">
        <w:rPr>
          <w:b/>
          <w:szCs w:val="22"/>
          <w:lang w:val="es-ES" w:eastAsia="en-US"/>
        </w:rPr>
        <w:t xml:space="preserve"> 1 </w:t>
      </w:r>
      <w:r w:rsidRPr="003C7C55">
        <w:rPr>
          <w:b/>
          <w:szCs w:val="22"/>
          <w:lang w:val="es-ES" w:eastAsia="en-US"/>
        </w:rPr>
        <w:t xml:space="preserve">de la Convención, abarcar la discriminación directa e indirecta y la discriminación en los ámbitos público y privado y reconocer las formas interrelacionadas de discriminación, incluida la discriminación contra las mujeres lesbianas, bisexuales y transexuales y las personas intersexuales, de conformidad con las recomendaciones que contaron con el apoyo del Estado parte en el segundo ciclo del examen periódico universal (véase </w:t>
      </w:r>
      <w:hyperlink r:id="rId24" w:history="1">
        <w:r w:rsidRPr="003C7C55">
          <w:rPr>
            <w:rStyle w:val="Hipervnculo"/>
            <w:b/>
            <w:szCs w:val="22"/>
            <w:lang w:val="es-ES" w:eastAsia="en-US"/>
          </w:rPr>
          <w:t>A/HRC/</w:t>
        </w:r>
        <w:r w:rsidR="0039380A" w:rsidRPr="003C7C55">
          <w:rPr>
            <w:rStyle w:val="Hipervnculo"/>
            <w:b/>
            <w:szCs w:val="22"/>
            <w:lang w:val="es-ES" w:eastAsia="en-US"/>
          </w:rPr>
          <w:t>32</w:t>
        </w:r>
        <w:r w:rsidRPr="003C7C55">
          <w:rPr>
            <w:rStyle w:val="Hipervnculo"/>
            <w:b/>
            <w:szCs w:val="22"/>
            <w:lang w:val="es-ES" w:eastAsia="en-US"/>
          </w:rPr>
          <w:t>/</w:t>
        </w:r>
        <w:r w:rsidR="0039380A" w:rsidRPr="003C7C55">
          <w:rPr>
            <w:rStyle w:val="Hipervnculo"/>
            <w:b/>
            <w:szCs w:val="22"/>
            <w:lang w:val="es-ES" w:eastAsia="en-US"/>
          </w:rPr>
          <w:t>9</w:t>
        </w:r>
      </w:hyperlink>
      <w:r w:rsidRPr="003C7C55">
        <w:rPr>
          <w:b/>
          <w:szCs w:val="22"/>
          <w:lang w:val="es-ES" w:eastAsia="en-US"/>
        </w:rPr>
        <w:t>, párrs</w:t>
      </w:r>
      <w:r w:rsidR="0039380A" w:rsidRPr="003C7C55">
        <w:rPr>
          <w:b/>
          <w:szCs w:val="22"/>
          <w:lang w:val="es-ES" w:eastAsia="en-US"/>
        </w:rPr>
        <w:t xml:space="preserve">. 102.38 </w:t>
      </w:r>
      <w:r w:rsidRPr="003C7C55">
        <w:rPr>
          <w:b/>
          <w:szCs w:val="22"/>
          <w:lang w:val="es-ES" w:eastAsia="en-US"/>
        </w:rPr>
        <w:t>y</w:t>
      </w:r>
      <w:r w:rsidR="0039380A" w:rsidRPr="003C7C55">
        <w:rPr>
          <w:b/>
          <w:szCs w:val="22"/>
          <w:lang w:val="es-ES" w:eastAsia="en-US"/>
        </w:rPr>
        <w:t xml:space="preserve"> 102.52 </w:t>
      </w:r>
      <w:r w:rsidRPr="003C7C55">
        <w:rPr>
          <w:b/>
          <w:szCs w:val="22"/>
          <w:lang w:val="es-ES" w:eastAsia="en-US"/>
        </w:rPr>
        <w:t>a</w:t>
      </w:r>
      <w:r w:rsidR="0039380A" w:rsidRPr="003C7C55">
        <w:rPr>
          <w:b/>
          <w:szCs w:val="22"/>
          <w:lang w:val="es-ES" w:eastAsia="en-US"/>
        </w:rPr>
        <w:t xml:space="preserve"> 102.56</w:t>
      </w:r>
      <w:r w:rsidRPr="003C7C55">
        <w:rPr>
          <w:b/>
          <w:szCs w:val="22"/>
          <w:lang w:val="es-ES" w:eastAsia="en-US"/>
        </w:rPr>
        <w:t>)</w:t>
      </w:r>
      <w:r w:rsidR="0039380A" w:rsidRPr="003C7C55">
        <w:rPr>
          <w:b/>
          <w:szCs w:val="22"/>
          <w:lang w:val="es-ES" w:eastAsia="en-US"/>
        </w:rPr>
        <w:t>.</w:t>
      </w:r>
      <w:r w:rsidRPr="003C7C55">
        <w:rPr>
          <w:b/>
          <w:szCs w:val="22"/>
          <w:lang w:val="es-ES" w:eastAsia="en-US"/>
        </w:rPr>
        <w:t xml:space="preserve"> El Comité recomienda asimismo que el Estado parte proceda a un examen completo de su legislación para eliminar todas las disposiciones discriminatorias</w:t>
      </w:r>
      <w:r w:rsidR="0039380A" w:rsidRPr="003C7C55">
        <w:rPr>
          <w:b/>
          <w:szCs w:val="22"/>
          <w:lang w:val="es-ES" w:eastAsia="en-US"/>
        </w:rPr>
        <w:t>.</w:t>
      </w:r>
      <w:bookmarkEnd w:id="29"/>
    </w:p>
    <w:p w14:paraId="315D417E" w14:textId="77777777" w:rsidR="00092653" w:rsidRPr="003C7C55" w:rsidRDefault="00092653" w:rsidP="00092653">
      <w:pPr>
        <w:pStyle w:val="SingleTxt"/>
        <w:spacing w:after="0" w:line="120" w:lineRule="exact"/>
        <w:rPr>
          <w:sz w:val="10"/>
          <w:szCs w:val="10"/>
          <w:lang w:val="es-ES"/>
        </w:rPr>
      </w:pPr>
      <w:bookmarkStart w:id="30" w:name="bookmark_1367"/>
    </w:p>
    <w:p w14:paraId="61A65983"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Acceso a la justicia</w:t>
      </w:r>
      <w:bookmarkEnd w:id="30"/>
    </w:p>
    <w:p w14:paraId="45C4CF28" w14:textId="77777777" w:rsidR="00092653" w:rsidRPr="003C7C55" w:rsidRDefault="00092653" w:rsidP="00092653">
      <w:pPr>
        <w:pStyle w:val="SingleTxt"/>
        <w:spacing w:after="0" w:line="120" w:lineRule="exact"/>
        <w:rPr>
          <w:sz w:val="10"/>
          <w:szCs w:val="10"/>
          <w:lang w:val="es-ES"/>
        </w:rPr>
      </w:pPr>
    </w:p>
    <w:p w14:paraId="005F9519" w14:textId="1DC62712" w:rsidR="0039380A" w:rsidRPr="003C7C55" w:rsidRDefault="004E3FF9" w:rsidP="009F6113">
      <w:pPr>
        <w:pStyle w:val="SingleTxt"/>
        <w:numPr>
          <w:ilvl w:val="0"/>
          <w:numId w:val="5"/>
        </w:numPr>
        <w:tabs>
          <w:tab w:val="num" w:pos="1742"/>
        </w:tabs>
        <w:ind w:left="1267" w:firstLine="0"/>
        <w:rPr>
          <w:szCs w:val="22"/>
          <w:lang w:val="es-ES" w:eastAsia="en-US"/>
        </w:rPr>
      </w:pPr>
      <w:bookmarkStart w:id="31" w:name="bookmark_1368"/>
      <w:r w:rsidRPr="003C7C55">
        <w:rPr>
          <w:szCs w:val="22"/>
          <w:lang w:val="es-ES" w:eastAsia="en-US"/>
        </w:rPr>
        <w:t xml:space="preserve">El Comité acoge con beneplácito los esfuerzos del Estado parte por descentralizar el poder judicial y por crear servicios de apoyo, en particular mediante las casas de justicia y la </w:t>
      </w:r>
      <w:r w:rsidRPr="003C7C55">
        <w:rPr>
          <w:i/>
          <w:szCs w:val="22"/>
          <w:lang w:val="es-ES" w:eastAsia="en-US"/>
        </w:rPr>
        <w:t>elaboración</w:t>
      </w:r>
      <w:r w:rsidRPr="003C7C55">
        <w:rPr>
          <w:szCs w:val="22"/>
          <w:lang w:val="es-ES" w:eastAsia="en-US"/>
        </w:rPr>
        <w:t xml:space="preserve"> de una guía jurídica accesible desde los teléfonos móviles, a fin de mejorar el acceso a la justicia de los grupos desfavorecidos</w:t>
      </w:r>
      <w:r w:rsidR="0039380A" w:rsidRPr="003C7C55">
        <w:rPr>
          <w:szCs w:val="22"/>
          <w:lang w:val="es-ES" w:eastAsia="en-US"/>
        </w:rPr>
        <w:t>.</w:t>
      </w:r>
      <w:r w:rsidRPr="003C7C55">
        <w:rPr>
          <w:szCs w:val="22"/>
          <w:lang w:val="es-ES" w:eastAsia="en-US"/>
        </w:rPr>
        <w:t xml:space="preserve"> No obstante, le preocupa la presunta corrupción en el seno del poder</w:t>
      </w:r>
      <w:r w:rsidR="0039380A" w:rsidRPr="003C7C55">
        <w:rPr>
          <w:szCs w:val="22"/>
          <w:lang w:val="es-ES" w:eastAsia="en-US"/>
        </w:rPr>
        <w:t xml:space="preserve"> </w:t>
      </w:r>
      <w:r w:rsidRPr="003C7C55">
        <w:rPr>
          <w:szCs w:val="22"/>
          <w:lang w:val="es-ES" w:eastAsia="en-US"/>
        </w:rPr>
        <w:t>judicial, que está dificultando el acceso de las mujeres a la justicia y creando una falta de confianza entre las mujeres del Estado parte hacia la policía y el poder</w:t>
      </w:r>
      <w:r w:rsidR="0039380A" w:rsidRPr="003C7C55">
        <w:rPr>
          <w:szCs w:val="22"/>
          <w:lang w:val="es-ES" w:eastAsia="en-US"/>
        </w:rPr>
        <w:t xml:space="preserve"> </w:t>
      </w:r>
      <w:r w:rsidRPr="003C7C55">
        <w:rPr>
          <w:szCs w:val="22"/>
          <w:lang w:val="es-ES" w:eastAsia="en-US"/>
        </w:rPr>
        <w:t>judicial</w:t>
      </w:r>
      <w:r w:rsidR="0039380A" w:rsidRPr="003C7C55">
        <w:rPr>
          <w:szCs w:val="22"/>
          <w:lang w:val="es-ES" w:eastAsia="en-US"/>
        </w:rPr>
        <w:t>.</w:t>
      </w:r>
      <w:bookmarkEnd w:id="31"/>
    </w:p>
    <w:p w14:paraId="40A2611A" w14:textId="788DAF21" w:rsidR="004E3FF9" w:rsidRPr="003C7C55" w:rsidRDefault="004E3FF9" w:rsidP="009F6113">
      <w:pPr>
        <w:pStyle w:val="SingleTxt"/>
        <w:numPr>
          <w:ilvl w:val="0"/>
          <w:numId w:val="5"/>
        </w:numPr>
        <w:tabs>
          <w:tab w:val="num" w:pos="1742"/>
        </w:tabs>
        <w:ind w:left="1267" w:firstLine="0"/>
        <w:rPr>
          <w:b/>
          <w:szCs w:val="22"/>
          <w:lang w:val="es-ES" w:eastAsia="en-US"/>
        </w:rPr>
      </w:pPr>
      <w:bookmarkStart w:id="32" w:name="bookmark_1369"/>
      <w:r w:rsidRPr="003C7C55">
        <w:rPr>
          <w:b/>
          <w:szCs w:val="22"/>
          <w:lang w:val="es-ES" w:eastAsia="en-US"/>
        </w:rPr>
        <w:t>Recordando su recomendación general núm</w:t>
      </w:r>
      <w:r w:rsidR="0039380A" w:rsidRPr="003C7C55">
        <w:rPr>
          <w:b/>
          <w:szCs w:val="22"/>
          <w:lang w:val="es-ES" w:eastAsia="en-US"/>
        </w:rPr>
        <w:t xml:space="preserve">. 33 </w:t>
      </w:r>
      <w:r w:rsidRPr="003C7C55">
        <w:rPr>
          <w:b/>
          <w:szCs w:val="22"/>
          <w:lang w:val="es-ES" w:eastAsia="en-US"/>
        </w:rPr>
        <w:t>(</w:t>
      </w:r>
      <w:r w:rsidR="0039380A" w:rsidRPr="003C7C55">
        <w:rPr>
          <w:b/>
          <w:szCs w:val="22"/>
          <w:lang w:val="es-ES" w:eastAsia="en-US"/>
        </w:rPr>
        <w:t>2015</w:t>
      </w:r>
      <w:r w:rsidRPr="003C7C55">
        <w:rPr>
          <w:b/>
          <w:szCs w:val="22"/>
          <w:lang w:val="es-ES" w:eastAsia="en-US"/>
        </w:rPr>
        <w:t>) sobre el acceso de las mujeres a la justicia, el Comité recomienda que el Estado parte refuerce el sistema judicial, por ejemplo:</w:t>
      </w:r>
      <w:bookmarkEnd w:id="32"/>
    </w:p>
    <w:p w14:paraId="3073EA4E" w14:textId="6A5E7858" w:rsidR="004E3FF9" w:rsidRPr="003C7C55" w:rsidRDefault="003B3DB5" w:rsidP="003B3DB5">
      <w:pPr>
        <w:pStyle w:val="SingleTxt"/>
        <w:rPr>
          <w:lang w:val="es-ES" w:eastAsia="en-US"/>
        </w:rPr>
      </w:pPr>
      <w:bookmarkStart w:id="33" w:name="bookmark_1370"/>
      <w:r w:rsidRPr="003C7C55">
        <w:rPr>
          <w:lang w:val="es-ES" w:eastAsia="en-US"/>
        </w:rPr>
        <w:tab/>
        <w:t>a)</w:t>
      </w:r>
      <w:r w:rsidRPr="003C7C55">
        <w:rPr>
          <w:lang w:val="es-ES" w:eastAsia="en-US"/>
        </w:rPr>
        <w:tab/>
      </w:r>
      <w:r w:rsidR="004E3FF9" w:rsidRPr="003C7C55">
        <w:rPr>
          <w:b/>
          <w:lang w:val="es-ES" w:eastAsia="en-US"/>
        </w:rPr>
        <w:t>Fomentando la profesionalidad, la independencia y la rendición de cuentas de los jueces, los fiscales y los agentes de policía, entre otros, en</w:t>
      </w:r>
      <w:r w:rsidR="0039380A" w:rsidRPr="003C7C55">
        <w:rPr>
          <w:b/>
          <w:lang w:val="es-ES" w:eastAsia="en-US"/>
        </w:rPr>
        <w:t xml:space="preserve"> </w:t>
      </w:r>
      <w:r w:rsidR="004E3FF9" w:rsidRPr="003C7C55">
        <w:rPr>
          <w:b/>
          <w:lang w:val="es-ES" w:eastAsia="en-US"/>
        </w:rPr>
        <w:t>los procedimientos de selección, ascenso y destitución, reforzando los procedimientos de investigación y enjuiciamiento y garantizando la pena en los</w:t>
      </w:r>
      <w:r w:rsidR="0039380A" w:rsidRPr="003C7C55">
        <w:rPr>
          <w:b/>
          <w:lang w:val="es-ES" w:eastAsia="en-US"/>
        </w:rPr>
        <w:t xml:space="preserve"> </w:t>
      </w:r>
      <w:r w:rsidR="004E3FF9" w:rsidRPr="003C7C55">
        <w:rPr>
          <w:b/>
          <w:lang w:val="es-ES" w:eastAsia="en-US"/>
        </w:rPr>
        <w:t>casos de corrupción en el poder judicial, a fin de restablecer la confianza de las mujeres en el sistema judicial;</w:t>
      </w:r>
      <w:bookmarkEnd w:id="33"/>
    </w:p>
    <w:p w14:paraId="69F06D3A" w14:textId="77777777" w:rsidR="004E3FF9" w:rsidRPr="003C7C55" w:rsidRDefault="003B3DB5" w:rsidP="003B3DB5">
      <w:pPr>
        <w:pStyle w:val="SingleTxt"/>
        <w:rPr>
          <w:lang w:val="es-ES" w:eastAsia="en-US"/>
        </w:rPr>
      </w:pPr>
      <w:bookmarkStart w:id="34" w:name="bookmark_1371"/>
      <w:r w:rsidRPr="003C7C55">
        <w:rPr>
          <w:lang w:val="es-ES" w:eastAsia="en-US"/>
        </w:rPr>
        <w:tab/>
        <w:t>b)</w:t>
      </w:r>
      <w:r w:rsidRPr="003C7C55">
        <w:rPr>
          <w:lang w:val="es-ES" w:eastAsia="en-US"/>
        </w:rPr>
        <w:tab/>
      </w:r>
      <w:r w:rsidR="004E3FF9" w:rsidRPr="003C7C55">
        <w:rPr>
          <w:b/>
          <w:lang w:val="es-ES" w:eastAsia="en-US"/>
        </w:rPr>
        <w:t>Acelerando la adopción de medidas legislativas para garantizar la disponibilidad de los recursos financieros, técnicos y humanos especializados suficientes para tramitar los casos de manera oportuna, no discriminatoria y competente, teniendo en cuenta las cuestiones de género, y ampliando el alcance de las casas de justicia, entre otras cosas, incrementando su número;</w:t>
      </w:r>
      <w:bookmarkEnd w:id="34"/>
    </w:p>
    <w:p w14:paraId="6DEC8906" w14:textId="77777777" w:rsidR="0039380A" w:rsidRPr="003C7C55" w:rsidRDefault="003B3DB5" w:rsidP="003B3DB5">
      <w:pPr>
        <w:pStyle w:val="SingleTxt"/>
        <w:rPr>
          <w:b/>
          <w:lang w:val="es-ES" w:eastAsia="en-US"/>
        </w:rPr>
      </w:pPr>
      <w:bookmarkStart w:id="35" w:name="bookmark_1372"/>
      <w:r w:rsidRPr="003C7C55">
        <w:rPr>
          <w:lang w:val="es-ES" w:eastAsia="en-US"/>
        </w:rPr>
        <w:tab/>
        <w:t>c)</w:t>
      </w:r>
      <w:r w:rsidRPr="003C7C55">
        <w:rPr>
          <w:lang w:val="es-ES" w:eastAsia="en-US"/>
        </w:rPr>
        <w:tab/>
      </w:r>
      <w:r w:rsidR="004E3FF9" w:rsidRPr="003C7C55">
        <w:rPr>
          <w:b/>
          <w:lang w:val="es-ES" w:eastAsia="en-US"/>
        </w:rPr>
        <w:t>Fomentando de manera sistemática el desarrollo de la capacidad de jueces, fiscales, abogados, agentes de policía y otros funcionarios encargados de hacer cumplir la ley en relación con los protocolos adoptados para mejorar el acceso a la justicia de grupos específicos, así como la capacitación sobre los derechos de la mujer, en particular la Convención y las recomendaciones generales del Comité y su jurisprudencia con arreglo al Protocolo Facultativo</w:t>
      </w:r>
      <w:r w:rsidR="0039380A" w:rsidRPr="003C7C55">
        <w:rPr>
          <w:b/>
          <w:lang w:val="es-ES" w:eastAsia="en-US"/>
        </w:rPr>
        <w:t>.</w:t>
      </w:r>
      <w:bookmarkEnd w:id="35"/>
    </w:p>
    <w:p w14:paraId="2A2A005D" w14:textId="47D5BE26" w:rsidR="00092653" w:rsidRPr="003C7C55" w:rsidRDefault="00092653" w:rsidP="00092653">
      <w:pPr>
        <w:pStyle w:val="SingleTxt"/>
        <w:spacing w:after="0" w:line="120" w:lineRule="exact"/>
        <w:rPr>
          <w:sz w:val="10"/>
          <w:szCs w:val="10"/>
          <w:lang w:val="es-ES"/>
        </w:rPr>
      </w:pPr>
      <w:bookmarkStart w:id="36" w:name="bookmark_1373"/>
    </w:p>
    <w:p w14:paraId="285CBCBD"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Mecanismos nacionales encargados del adelanto de la mujer</w:t>
      </w:r>
      <w:bookmarkEnd w:id="36"/>
    </w:p>
    <w:p w14:paraId="08C1670B" w14:textId="77777777" w:rsidR="00092653" w:rsidRPr="003C7C55" w:rsidRDefault="00092653" w:rsidP="00092653">
      <w:pPr>
        <w:pStyle w:val="SingleTxt"/>
        <w:spacing w:after="0" w:line="120" w:lineRule="exact"/>
        <w:rPr>
          <w:sz w:val="10"/>
          <w:szCs w:val="10"/>
          <w:lang w:val="es-ES"/>
        </w:rPr>
      </w:pPr>
    </w:p>
    <w:p w14:paraId="7E9AD64D" w14:textId="3F9FAF8B" w:rsidR="004E3FF9" w:rsidRPr="003C7C55" w:rsidRDefault="004E3FF9" w:rsidP="009F6113">
      <w:pPr>
        <w:pStyle w:val="SingleTxt"/>
        <w:numPr>
          <w:ilvl w:val="0"/>
          <w:numId w:val="5"/>
        </w:numPr>
        <w:tabs>
          <w:tab w:val="num" w:pos="1742"/>
        </w:tabs>
        <w:ind w:left="1267" w:firstLine="0"/>
        <w:rPr>
          <w:szCs w:val="22"/>
          <w:lang w:val="es-ES" w:eastAsia="en-US"/>
        </w:rPr>
      </w:pPr>
      <w:bookmarkStart w:id="37" w:name="bookmark_1374"/>
      <w:r w:rsidRPr="003C7C55">
        <w:rPr>
          <w:szCs w:val="22"/>
          <w:lang w:val="es-ES" w:eastAsia="en-US"/>
        </w:rPr>
        <w:t>El Comité acoge con satisfacción la promoción de la Secretaría de la Mujer a rango ministerial y la formulación por el Estado parte de políticas públicas municipales sobre la igualdad de género</w:t>
      </w:r>
      <w:r w:rsidR="0039380A" w:rsidRPr="003C7C55">
        <w:rPr>
          <w:szCs w:val="22"/>
          <w:lang w:val="es-ES" w:eastAsia="en-US"/>
        </w:rPr>
        <w:t>.</w:t>
      </w:r>
      <w:r w:rsidRPr="003C7C55">
        <w:rPr>
          <w:szCs w:val="22"/>
          <w:lang w:val="es-ES" w:eastAsia="en-US"/>
        </w:rPr>
        <w:t xml:space="preserve"> No obstante, observa con preocupación que:</w:t>
      </w:r>
      <w:bookmarkEnd w:id="37"/>
    </w:p>
    <w:p w14:paraId="151C48DA" w14:textId="77777777" w:rsidR="004E3FF9" w:rsidRPr="003C7C55" w:rsidRDefault="00806362" w:rsidP="00806362">
      <w:pPr>
        <w:pStyle w:val="SingleTxt"/>
        <w:rPr>
          <w:lang w:val="es-ES" w:eastAsia="en-US"/>
        </w:rPr>
      </w:pPr>
      <w:bookmarkStart w:id="38" w:name="bookmark_1375"/>
      <w:r w:rsidRPr="003C7C55">
        <w:rPr>
          <w:lang w:val="es-ES" w:eastAsia="en-US"/>
        </w:rPr>
        <w:tab/>
        <w:t>a)</w:t>
      </w:r>
      <w:r w:rsidRPr="003C7C55">
        <w:rPr>
          <w:lang w:val="es-ES" w:eastAsia="en-US"/>
        </w:rPr>
        <w:tab/>
      </w:r>
      <w:r w:rsidR="004E3FF9" w:rsidRPr="003C7C55">
        <w:rPr>
          <w:lang w:val="es-ES" w:eastAsia="en-US"/>
        </w:rPr>
        <w:t>Los recursos humanos, técnicos y financieros asignados para la aplicación de las responsabilidades cambiantes del Ministerio de la Mujer, y para permitir su representación en todas las regiones del Estado parte, son insuficientes;</w:t>
      </w:r>
      <w:bookmarkEnd w:id="38"/>
    </w:p>
    <w:p w14:paraId="792396DA" w14:textId="77777777" w:rsidR="004E3FF9" w:rsidRPr="003C7C55" w:rsidRDefault="00806362" w:rsidP="00806362">
      <w:pPr>
        <w:pStyle w:val="SingleTxt"/>
        <w:rPr>
          <w:lang w:val="es-ES" w:eastAsia="en-US"/>
        </w:rPr>
      </w:pPr>
      <w:bookmarkStart w:id="39" w:name="bookmark_1376"/>
      <w:r w:rsidRPr="003C7C55">
        <w:rPr>
          <w:lang w:val="es-ES" w:eastAsia="en-US"/>
        </w:rPr>
        <w:tab/>
        <w:t>b)</w:t>
      </w:r>
      <w:r w:rsidRPr="003C7C55">
        <w:rPr>
          <w:lang w:val="es-ES" w:eastAsia="en-US"/>
        </w:rPr>
        <w:tab/>
      </w:r>
      <w:r w:rsidR="004E3FF9" w:rsidRPr="003C7C55">
        <w:rPr>
          <w:lang w:val="es-ES" w:eastAsia="en-US"/>
        </w:rPr>
        <w:t>El presupuesto asignado al tercer plan nacional de igualdad de oportunidades entre hombres y mujeres es insuficiente para su aplicación efectiva;</w:t>
      </w:r>
      <w:bookmarkEnd w:id="39"/>
    </w:p>
    <w:p w14:paraId="655F2A38" w14:textId="5ECEBCA6" w:rsidR="004E3FF9" w:rsidRPr="003C7C55" w:rsidRDefault="00806362" w:rsidP="00806362">
      <w:pPr>
        <w:pStyle w:val="SingleTxt"/>
        <w:rPr>
          <w:lang w:val="es-ES" w:eastAsia="en-US"/>
        </w:rPr>
      </w:pPr>
      <w:bookmarkStart w:id="40" w:name="bookmark_1377"/>
      <w:r w:rsidRPr="003C7C55">
        <w:rPr>
          <w:lang w:val="es-ES" w:eastAsia="en-US"/>
        </w:rPr>
        <w:tab/>
        <w:t>c)</w:t>
      </w:r>
      <w:r w:rsidRPr="003C7C55">
        <w:rPr>
          <w:lang w:val="es-ES" w:eastAsia="en-US"/>
        </w:rPr>
        <w:tab/>
      </w:r>
      <w:r w:rsidR="004E3FF9" w:rsidRPr="003C7C55">
        <w:rPr>
          <w:lang w:val="es-ES" w:eastAsia="en-US"/>
        </w:rPr>
        <w:t xml:space="preserve">La Defensoría del Pueblo </w:t>
      </w:r>
      <w:r w:rsidR="004E3FF9" w:rsidRPr="003C7C55">
        <w:rPr>
          <w:i/>
          <w:lang w:val="es-ES" w:eastAsia="en-US"/>
        </w:rPr>
        <w:t>no está en conformidad</w:t>
      </w:r>
      <w:r w:rsidR="004E3FF9" w:rsidRPr="003C7C55">
        <w:rPr>
          <w:lang w:val="es-ES" w:eastAsia="en-US"/>
        </w:rPr>
        <w:t xml:space="preserve"> con los principios relativos al estatuto de las instituciones nacionales de promoción y protección de los derechos humanos (Principios de París) y su alcance es limitado en lo que se refiere al examen y formulación de recomendaciones sobre las denuncias presentadas por mujeres por la violación de su derecho humano a la igualdad entre los géneros</w:t>
      </w:r>
      <w:r w:rsidR="0039380A" w:rsidRPr="003C7C55">
        <w:rPr>
          <w:lang w:val="es-ES" w:eastAsia="en-US"/>
        </w:rPr>
        <w:t>.</w:t>
      </w:r>
      <w:bookmarkEnd w:id="40"/>
    </w:p>
    <w:p w14:paraId="4D42A87F"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41" w:name="bookmark_1378"/>
      <w:r w:rsidRPr="003C7C55">
        <w:rPr>
          <w:b/>
          <w:szCs w:val="22"/>
          <w:lang w:val="es-ES" w:eastAsia="en-US"/>
        </w:rPr>
        <w:t>El Comité recomienda al Estado parte que:</w:t>
      </w:r>
      <w:bookmarkEnd w:id="41"/>
    </w:p>
    <w:p w14:paraId="014AD6F9" w14:textId="77777777" w:rsidR="0039380A" w:rsidRPr="003C7C55" w:rsidRDefault="00A518DB" w:rsidP="00A518DB">
      <w:pPr>
        <w:pStyle w:val="SingleTxt"/>
        <w:rPr>
          <w:b/>
          <w:lang w:val="es-ES" w:eastAsia="en-US"/>
        </w:rPr>
      </w:pPr>
      <w:bookmarkStart w:id="42" w:name="bookmark_1379"/>
      <w:r w:rsidRPr="003C7C55">
        <w:rPr>
          <w:lang w:val="es-ES" w:eastAsia="en-US"/>
        </w:rPr>
        <w:tab/>
        <w:t>a)</w:t>
      </w:r>
      <w:r w:rsidRPr="003C7C55">
        <w:rPr>
          <w:lang w:val="es-ES" w:eastAsia="en-US"/>
        </w:rPr>
        <w:tab/>
      </w:r>
      <w:r w:rsidR="004E3FF9" w:rsidRPr="003C7C55">
        <w:rPr>
          <w:b/>
          <w:lang w:val="es-ES" w:eastAsia="en-US"/>
        </w:rPr>
        <w:t>Otorgue prioridad al mandato del Ministerio de la Mujer e incremente considerablemente los recursos humanos, técnicos y financieros que se le asignan, de tal manera que pueda cumplir de manera eficaz su mandato de vigilar la situación de las mujeres, aplicar políticas y leyes relativas a la igualdad entre los géneros en todas las dependencias administrativas del Estado parte y garantizar su coordinación eficaz;</w:t>
      </w:r>
      <w:bookmarkEnd w:id="42"/>
    </w:p>
    <w:p w14:paraId="6BEF066F" w14:textId="3CD638B9" w:rsidR="004E3FF9" w:rsidRPr="003C7C55" w:rsidRDefault="00A518DB" w:rsidP="00A518DB">
      <w:pPr>
        <w:pStyle w:val="SingleTxt"/>
        <w:rPr>
          <w:lang w:val="es-ES" w:eastAsia="en-US"/>
        </w:rPr>
      </w:pPr>
      <w:bookmarkStart w:id="43" w:name="bookmark_1380"/>
      <w:r w:rsidRPr="003C7C55">
        <w:rPr>
          <w:lang w:val="es-ES" w:eastAsia="en-US"/>
        </w:rPr>
        <w:tab/>
        <w:t>b)</w:t>
      </w:r>
      <w:r w:rsidRPr="003C7C55">
        <w:rPr>
          <w:lang w:val="es-ES" w:eastAsia="en-US"/>
        </w:rPr>
        <w:tab/>
      </w:r>
      <w:r w:rsidR="004E3FF9" w:rsidRPr="003C7C55">
        <w:rPr>
          <w:b/>
          <w:lang w:val="es-ES" w:eastAsia="en-US"/>
        </w:rPr>
        <w:t>Garantice la asignación de un presupuesto independiente y suficiente para la aplicación eficaz del tercer plan nacional de igualdad de oportunidades y para la supervisión y evaluación de sus efectos;</w:t>
      </w:r>
      <w:bookmarkEnd w:id="43"/>
    </w:p>
    <w:p w14:paraId="4E7762FB" w14:textId="77777777" w:rsidR="0039380A" w:rsidRPr="003C7C55" w:rsidRDefault="00A518DB" w:rsidP="00A518DB">
      <w:pPr>
        <w:pStyle w:val="SingleTxt"/>
        <w:rPr>
          <w:lang w:val="es-ES" w:eastAsia="en-US"/>
        </w:rPr>
      </w:pPr>
      <w:bookmarkStart w:id="44" w:name="bookmark_1381"/>
      <w:r w:rsidRPr="003C7C55">
        <w:rPr>
          <w:lang w:val="es-ES" w:eastAsia="en-US"/>
        </w:rPr>
        <w:tab/>
        <w:t>c)</w:t>
      </w:r>
      <w:r w:rsidRPr="003C7C55">
        <w:rPr>
          <w:lang w:val="es-ES" w:eastAsia="en-US"/>
        </w:rPr>
        <w:tab/>
      </w:r>
      <w:r w:rsidR="004E3FF9" w:rsidRPr="003C7C55">
        <w:rPr>
          <w:b/>
          <w:lang w:val="es-ES" w:eastAsia="en-US"/>
        </w:rPr>
        <w:t>Vele por que la Defensoría del Pueblo se ajuste plenamente a los Principios de París y asigne los recursos humanos, técnicos y financieros necesarios para el cumplimiento de su mandato, que incluye la eliminación de todas las formas y los motivos de discriminación</w:t>
      </w:r>
      <w:r w:rsidR="0039380A" w:rsidRPr="003C7C55">
        <w:rPr>
          <w:b/>
          <w:lang w:val="es-ES" w:eastAsia="en-US"/>
        </w:rPr>
        <w:t>.</w:t>
      </w:r>
      <w:bookmarkEnd w:id="44"/>
    </w:p>
    <w:p w14:paraId="086FBACC" w14:textId="2F46E978" w:rsidR="00B64BBF" w:rsidRPr="003C7C55" w:rsidRDefault="00B64BBF" w:rsidP="00B64BBF">
      <w:pPr>
        <w:pStyle w:val="SingleTxt"/>
        <w:spacing w:after="0" w:line="120" w:lineRule="exact"/>
        <w:rPr>
          <w:sz w:val="10"/>
          <w:szCs w:val="10"/>
          <w:lang w:val="es-ES"/>
        </w:rPr>
      </w:pPr>
      <w:bookmarkStart w:id="45" w:name="bookmark_1382"/>
    </w:p>
    <w:p w14:paraId="415DDB1B"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Medidas especiales de carácter temporal</w:t>
      </w:r>
      <w:bookmarkEnd w:id="45"/>
    </w:p>
    <w:p w14:paraId="48AB8116" w14:textId="77777777" w:rsidR="00B64BBF" w:rsidRPr="003C7C55" w:rsidRDefault="00B64BBF" w:rsidP="00B64BBF">
      <w:pPr>
        <w:pStyle w:val="SingleTxt"/>
        <w:spacing w:after="0" w:line="120" w:lineRule="exact"/>
        <w:rPr>
          <w:sz w:val="10"/>
          <w:szCs w:val="10"/>
          <w:lang w:val="es-ES"/>
        </w:rPr>
      </w:pPr>
    </w:p>
    <w:p w14:paraId="76840081" w14:textId="272F302F" w:rsidR="004E3FF9" w:rsidRPr="003C7C55" w:rsidRDefault="004E3FF9" w:rsidP="009F6113">
      <w:pPr>
        <w:pStyle w:val="SingleTxt"/>
        <w:numPr>
          <w:ilvl w:val="0"/>
          <w:numId w:val="5"/>
        </w:numPr>
        <w:tabs>
          <w:tab w:val="num" w:pos="1742"/>
        </w:tabs>
        <w:ind w:left="1267" w:firstLine="0"/>
        <w:rPr>
          <w:szCs w:val="22"/>
          <w:lang w:val="es-ES" w:eastAsia="en-US"/>
        </w:rPr>
      </w:pPr>
      <w:bookmarkStart w:id="46" w:name="bookmark_1383"/>
      <w:r w:rsidRPr="003C7C55">
        <w:rPr>
          <w:szCs w:val="22"/>
          <w:lang w:val="es-ES" w:eastAsia="en-US"/>
        </w:rPr>
        <w:t>El Comité acoge con satisfacción la aprobación de leyes y políticas para la promoción de las mujeres de las zonas rurales y las mujeres con discapacidad</w:t>
      </w:r>
      <w:r w:rsidR="0039380A" w:rsidRPr="003C7C55">
        <w:rPr>
          <w:szCs w:val="22"/>
          <w:lang w:val="es-ES" w:eastAsia="en-US"/>
        </w:rPr>
        <w:t>.</w:t>
      </w:r>
      <w:r w:rsidRPr="003C7C55">
        <w:rPr>
          <w:szCs w:val="22"/>
          <w:lang w:val="es-ES" w:eastAsia="en-US"/>
        </w:rPr>
        <w:t xml:space="preserve"> No obstante, le preocupa el uso restringido de medidas especiales de carácter temporal encaminadas a acelerar la igualdad sustantiva entre las mujeres y los hombres, especialmente en las esferas de la vida en que las mujeres están insuficientemente representadas o se encuentran desfavorecidas, de conformidad con el artículo</w:t>
      </w:r>
      <w:r w:rsidR="0039380A" w:rsidRPr="003C7C55">
        <w:rPr>
          <w:szCs w:val="22"/>
          <w:lang w:val="es-ES" w:eastAsia="en-US"/>
        </w:rPr>
        <w:t xml:space="preserve"> 4 1</w:t>
      </w:r>
      <w:r w:rsidRPr="003C7C55">
        <w:rPr>
          <w:szCs w:val="22"/>
          <w:lang w:val="es-ES" w:eastAsia="en-US"/>
        </w:rPr>
        <w:t>) de la Convención</w:t>
      </w:r>
      <w:r w:rsidR="0039380A" w:rsidRPr="003C7C55">
        <w:rPr>
          <w:szCs w:val="22"/>
          <w:lang w:val="es-ES" w:eastAsia="en-US"/>
        </w:rPr>
        <w:t>.</w:t>
      </w:r>
      <w:bookmarkEnd w:id="46"/>
    </w:p>
    <w:p w14:paraId="7C443CBD" w14:textId="42F3F477" w:rsidR="0039380A" w:rsidRPr="003C7C55" w:rsidRDefault="004E3FF9" w:rsidP="009F6113">
      <w:pPr>
        <w:pStyle w:val="SingleTxt"/>
        <w:numPr>
          <w:ilvl w:val="0"/>
          <w:numId w:val="5"/>
        </w:numPr>
        <w:tabs>
          <w:tab w:val="num" w:pos="1742"/>
        </w:tabs>
        <w:ind w:left="1267" w:firstLine="0"/>
        <w:rPr>
          <w:b/>
          <w:szCs w:val="22"/>
          <w:lang w:val="es-ES" w:eastAsia="en-US"/>
        </w:rPr>
      </w:pPr>
      <w:bookmarkStart w:id="47" w:name="bookmark_1384"/>
      <w:r w:rsidRPr="003C7C55">
        <w:rPr>
          <w:b/>
          <w:szCs w:val="22"/>
          <w:lang w:val="es-ES" w:eastAsia="en-US"/>
        </w:rPr>
        <w:t>El Comité reitera su recomendación anterior (</w:t>
      </w:r>
      <w:hyperlink r:id="rId25" w:history="1">
        <w:r w:rsidRPr="003C7C55">
          <w:rPr>
            <w:rStyle w:val="Hipervnculo"/>
            <w:b/>
            <w:szCs w:val="22"/>
            <w:lang w:val="es-ES" w:eastAsia="en-US"/>
          </w:rPr>
          <w:t>CEDAW/C/PRY/CO/</w:t>
        </w:r>
        <w:r w:rsidR="0039380A" w:rsidRPr="003C7C55">
          <w:rPr>
            <w:rStyle w:val="Hipervnculo"/>
            <w:b/>
            <w:szCs w:val="22"/>
            <w:lang w:val="es-ES" w:eastAsia="en-US"/>
          </w:rPr>
          <w:t>6</w:t>
        </w:r>
      </w:hyperlink>
      <w:r w:rsidRPr="003C7C55">
        <w:rPr>
          <w:b/>
          <w:szCs w:val="22"/>
          <w:lang w:val="es-ES" w:eastAsia="en-US"/>
        </w:rPr>
        <w:t>, párr</w:t>
      </w:r>
      <w:r w:rsidR="0039380A" w:rsidRPr="003C7C55">
        <w:rPr>
          <w:b/>
          <w:szCs w:val="22"/>
          <w:lang w:val="es-ES" w:eastAsia="en-US"/>
        </w:rPr>
        <w:t>. 17</w:t>
      </w:r>
      <w:r w:rsidRPr="003C7C55">
        <w:rPr>
          <w:b/>
          <w:szCs w:val="22"/>
          <w:lang w:val="es-ES" w:eastAsia="en-US"/>
        </w:rPr>
        <w:t>) de que el Estado parte adopte medidas adicionales para fomentar la utilización de medidas especiales de carácter temporal y su aplicación más amplia, de conformidad con el artículo</w:t>
      </w:r>
      <w:r w:rsidR="0039380A" w:rsidRPr="003C7C55">
        <w:rPr>
          <w:b/>
          <w:szCs w:val="22"/>
          <w:lang w:val="es-ES" w:eastAsia="en-US"/>
        </w:rPr>
        <w:t xml:space="preserve"> 4 1</w:t>
      </w:r>
      <w:r w:rsidRPr="003C7C55">
        <w:rPr>
          <w:b/>
          <w:szCs w:val="22"/>
          <w:lang w:val="es-ES" w:eastAsia="en-US"/>
        </w:rPr>
        <w:t>) de la Convención y la recomendación general núm</w:t>
      </w:r>
      <w:r w:rsidR="0039380A" w:rsidRPr="003C7C55">
        <w:rPr>
          <w:b/>
          <w:szCs w:val="22"/>
          <w:lang w:val="es-ES" w:eastAsia="en-US"/>
        </w:rPr>
        <w:t xml:space="preserve">. 25 </w:t>
      </w:r>
      <w:r w:rsidRPr="003C7C55">
        <w:rPr>
          <w:b/>
          <w:szCs w:val="22"/>
          <w:lang w:val="es-ES" w:eastAsia="en-US"/>
        </w:rPr>
        <w:t>del Comité (</w:t>
      </w:r>
      <w:r w:rsidR="0039380A" w:rsidRPr="003C7C55">
        <w:rPr>
          <w:b/>
          <w:szCs w:val="22"/>
          <w:lang w:val="es-ES" w:eastAsia="en-US"/>
        </w:rPr>
        <w:t>2004</w:t>
      </w:r>
      <w:r w:rsidRPr="003C7C55">
        <w:rPr>
          <w:b/>
          <w:szCs w:val="22"/>
          <w:lang w:val="es-ES" w:eastAsia="en-US"/>
        </w:rPr>
        <w:t>) sobre las medidas especiales de carácter temporal, como parte de una estrategia necesaria para acelerar la consecución de la igualdad sustantiva de la mujer, en particular para los grupos de mujeres que afrontan formas interrelacionadas de discriminación, como las mujeres indígenas, las mujeres afrodescendientes y las mujeres de las zonas rurales, en todas las esferas de la vida en las que están insuficientemente representadas o se encuentran desfavorecidas, como en los sectores de la salud, la educación y el empleo</w:t>
      </w:r>
      <w:r w:rsidR="0039380A" w:rsidRPr="003C7C55">
        <w:rPr>
          <w:b/>
          <w:szCs w:val="22"/>
          <w:lang w:val="es-ES" w:eastAsia="en-US"/>
        </w:rPr>
        <w:t>.</w:t>
      </w:r>
      <w:bookmarkEnd w:id="47"/>
    </w:p>
    <w:p w14:paraId="44F63494" w14:textId="214C040D" w:rsidR="00B64BBF" w:rsidRPr="003C7C55" w:rsidRDefault="00B64BBF" w:rsidP="00B64BBF">
      <w:pPr>
        <w:pStyle w:val="SingleTxt"/>
        <w:spacing w:after="0" w:line="120" w:lineRule="exact"/>
        <w:rPr>
          <w:sz w:val="10"/>
          <w:szCs w:val="10"/>
          <w:lang w:val="es-ES"/>
        </w:rPr>
      </w:pPr>
      <w:bookmarkStart w:id="48" w:name="bookmark_1385"/>
    </w:p>
    <w:p w14:paraId="344BDB59"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Estereotipos discriminatorios</w:t>
      </w:r>
      <w:bookmarkEnd w:id="48"/>
    </w:p>
    <w:p w14:paraId="5D2AA70B" w14:textId="77777777" w:rsidR="00B64BBF" w:rsidRPr="003C7C55" w:rsidRDefault="00B64BBF" w:rsidP="00B64BBF">
      <w:pPr>
        <w:pStyle w:val="SingleTxt"/>
        <w:spacing w:after="0" w:line="120" w:lineRule="exact"/>
        <w:rPr>
          <w:sz w:val="10"/>
          <w:szCs w:val="10"/>
          <w:lang w:val="es-ES"/>
        </w:rPr>
      </w:pPr>
    </w:p>
    <w:p w14:paraId="0F40E5CE" w14:textId="77777777" w:rsidR="0039380A" w:rsidRPr="003C7C55" w:rsidRDefault="004E3FF9" w:rsidP="009F6113">
      <w:pPr>
        <w:pStyle w:val="SingleTxt"/>
        <w:numPr>
          <w:ilvl w:val="0"/>
          <w:numId w:val="5"/>
        </w:numPr>
        <w:tabs>
          <w:tab w:val="num" w:pos="1742"/>
        </w:tabs>
        <w:ind w:left="1267" w:firstLine="0"/>
        <w:rPr>
          <w:szCs w:val="22"/>
          <w:lang w:val="es-ES" w:eastAsia="en-US"/>
        </w:rPr>
      </w:pPr>
      <w:bookmarkStart w:id="49" w:name="bookmark_1386"/>
      <w:r w:rsidRPr="003C7C55">
        <w:rPr>
          <w:szCs w:val="22"/>
          <w:lang w:val="es-ES" w:eastAsia="en-US"/>
        </w:rPr>
        <w:t>El Comité acoge con beneplácito las iniciativas adoptadas por el Estado parte para sensibilizar a los medios de difusión estatales sobre la necesidad de una comunicación que tenga en cuenta las cuestiones de género y para capacitar a las direcciones de comunicación de las instituciones del Estado</w:t>
      </w:r>
      <w:r w:rsidR="0039380A" w:rsidRPr="003C7C55">
        <w:rPr>
          <w:szCs w:val="22"/>
          <w:lang w:val="es-ES" w:eastAsia="en-US"/>
        </w:rPr>
        <w:t>.</w:t>
      </w:r>
      <w:r w:rsidRPr="003C7C55">
        <w:rPr>
          <w:szCs w:val="22"/>
          <w:lang w:val="es-ES" w:eastAsia="en-US"/>
        </w:rPr>
        <w:t xml:space="preserve"> Sin embargo, expresa su preocupación por la persistencia de estereotipos discriminatorios en este sentido y por las formas interrelacionadas de discriminación contra la mujer por motivos de sexo, origen étnico, discapacidad y estado civil, así como contra las mujeres lesbianas, bisexuales y transexuales y las personas intersexuales</w:t>
      </w:r>
      <w:r w:rsidR="0039380A" w:rsidRPr="003C7C55">
        <w:rPr>
          <w:szCs w:val="22"/>
          <w:lang w:val="es-ES" w:eastAsia="en-US"/>
        </w:rPr>
        <w:t>.</w:t>
      </w:r>
      <w:r w:rsidRPr="003C7C55">
        <w:rPr>
          <w:szCs w:val="22"/>
          <w:lang w:val="es-ES" w:eastAsia="en-US"/>
        </w:rPr>
        <w:t xml:space="preserve"> Le preocupa que estos estereotipos constituyan la base de la discriminación y la violencia por razón de género contra la mujer, incluida la violencia sexual y doméstica y el feminicidio, así como el abuso sexual en la escuela y en el lugar de trabajo</w:t>
      </w:r>
      <w:r w:rsidR="0039380A" w:rsidRPr="003C7C55">
        <w:rPr>
          <w:szCs w:val="22"/>
          <w:lang w:val="es-ES" w:eastAsia="en-US"/>
        </w:rPr>
        <w:t>.</w:t>
      </w:r>
      <w:r w:rsidRPr="003C7C55">
        <w:rPr>
          <w:szCs w:val="22"/>
          <w:lang w:val="es-ES" w:eastAsia="en-US"/>
        </w:rPr>
        <w:t xml:space="preserve"> Al Comité también le inquieta la prevalencia de estereotipos de género discriminatorios en los medios de comunicación, en particular las caracterizaciones sexistas de las mujeres</w:t>
      </w:r>
      <w:r w:rsidR="0039380A" w:rsidRPr="003C7C55">
        <w:rPr>
          <w:szCs w:val="22"/>
          <w:lang w:val="es-ES" w:eastAsia="en-US"/>
        </w:rPr>
        <w:t>.</w:t>
      </w:r>
      <w:bookmarkEnd w:id="49"/>
    </w:p>
    <w:p w14:paraId="08A4762C"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50" w:name="bookmark_1387"/>
      <w:r w:rsidRPr="003C7C55">
        <w:rPr>
          <w:b/>
          <w:szCs w:val="22"/>
          <w:lang w:val="es-ES" w:eastAsia="en-US"/>
        </w:rPr>
        <w:t>El Comité recomienda al Estado parte que:</w:t>
      </w:r>
      <w:bookmarkEnd w:id="50"/>
    </w:p>
    <w:p w14:paraId="285630CE" w14:textId="378DCC9C" w:rsidR="004E3FF9" w:rsidRPr="003C7C55" w:rsidRDefault="000D1D93" w:rsidP="000D1D93">
      <w:pPr>
        <w:pStyle w:val="SingleTxt"/>
        <w:rPr>
          <w:lang w:val="es-ES" w:eastAsia="en-US"/>
        </w:rPr>
      </w:pPr>
      <w:bookmarkStart w:id="51" w:name="bookmark_1388"/>
      <w:r w:rsidRPr="003C7C55">
        <w:rPr>
          <w:lang w:val="es-ES" w:eastAsia="en-US"/>
        </w:rPr>
        <w:tab/>
        <w:t>a)</w:t>
      </w:r>
      <w:r w:rsidRPr="003C7C55">
        <w:rPr>
          <w:lang w:val="es-ES" w:eastAsia="en-US"/>
        </w:rPr>
        <w:tab/>
      </w:r>
      <w:r w:rsidR="004E3FF9" w:rsidRPr="003C7C55">
        <w:rPr>
          <w:b/>
          <w:lang w:val="es-ES" w:eastAsia="en-US"/>
        </w:rPr>
        <w:t>Ponga en marcha, sin demora, una estrategia integral para fomentar la conciencia pública sobre el concepto de género y eliminar las actitudes patriarcales y los estereotipos que discriminan a la mujer, que debería incluir educación y campañas de sensibilización dirigidas a las mujeres y los hombres de todos los estratos sociales, en particular los dirigentes comunitarios y religiosos, y centrarse en particular en el reconocimiento del valor y la dignidad de las mujeres y empoderarlas para que participen en los procesos de adopción de decisiones en la comunidad y en la sociedad en su conjunto, y debería contar</w:t>
      </w:r>
      <w:r w:rsidR="0039380A" w:rsidRPr="003C7C55">
        <w:rPr>
          <w:b/>
          <w:lang w:val="es-ES" w:eastAsia="en-US"/>
        </w:rPr>
        <w:t xml:space="preserve"> </w:t>
      </w:r>
      <w:r w:rsidR="004E3FF9" w:rsidRPr="003C7C55">
        <w:rPr>
          <w:b/>
          <w:lang w:val="es-ES" w:eastAsia="en-US"/>
        </w:rPr>
        <w:t>con la participación de las organizaciones de la sociedad civil y las organizaciones de los medios de difusión en la aplicación de la estrategia;</w:t>
      </w:r>
      <w:bookmarkEnd w:id="51"/>
    </w:p>
    <w:p w14:paraId="0D9B18DE" w14:textId="3A177FA5" w:rsidR="004E3FF9" w:rsidRPr="003C7C55" w:rsidRDefault="000D1D93" w:rsidP="000D1D93">
      <w:pPr>
        <w:pStyle w:val="SingleTxt"/>
        <w:rPr>
          <w:lang w:val="es-ES" w:eastAsia="en-US"/>
        </w:rPr>
      </w:pPr>
      <w:bookmarkStart w:id="52" w:name="bookmark_1389"/>
      <w:r w:rsidRPr="003C7C55">
        <w:rPr>
          <w:lang w:val="es-ES" w:eastAsia="en-US"/>
        </w:rPr>
        <w:tab/>
        <w:t>b)</w:t>
      </w:r>
      <w:r w:rsidRPr="003C7C55">
        <w:rPr>
          <w:lang w:val="es-ES" w:eastAsia="en-US"/>
        </w:rPr>
        <w:tab/>
      </w:r>
      <w:r w:rsidR="004E3FF9" w:rsidRPr="003C7C55">
        <w:rPr>
          <w:b/>
          <w:lang w:val="es-ES" w:eastAsia="en-US"/>
        </w:rPr>
        <w:t>Fomente la adopción de un código de conducta para la publicidad en los medios de comunicación públicos y privados, con miras a evitar los estereotipos y las prácticas de discriminación de género en los medios de comunicación (</w:t>
      </w:r>
      <w:hyperlink r:id="rId26" w:history="1">
        <w:r w:rsidR="004E3FF9" w:rsidRPr="003C7C55">
          <w:rPr>
            <w:rStyle w:val="Hipervnculo"/>
            <w:b/>
            <w:lang w:val="es-ES" w:eastAsia="en-US"/>
          </w:rPr>
          <w:t>CEDAW/C/PRY/CO/</w:t>
        </w:r>
        <w:r w:rsidR="0039380A" w:rsidRPr="003C7C55">
          <w:rPr>
            <w:rStyle w:val="Hipervnculo"/>
            <w:b/>
            <w:lang w:val="es-ES" w:eastAsia="en-US"/>
          </w:rPr>
          <w:t>6</w:t>
        </w:r>
      </w:hyperlink>
      <w:r w:rsidR="004E3FF9" w:rsidRPr="003C7C55">
        <w:rPr>
          <w:b/>
          <w:lang w:val="es-ES" w:eastAsia="en-US"/>
        </w:rPr>
        <w:t>, párr</w:t>
      </w:r>
      <w:r w:rsidR="0039380A" w:rsidRPr="003C7C55">
        <w:rPr>
          <w:b/>
          <w:lang w:val="es-ES" w:eastAsia="en-US"/>
        </w:rPr>
        <w:t>. 19</w:t>
      </w:r>
      <w:r w:rsidR="004E3FF9" w:rsidRPr="003C7C55">
        <w:rPr>
          <w:b/>
          <w:lang w:val="es-ES" w:eastAsia="en-US"/>
        </w:rPr>
        <w:t>), y vuelva a establecer una entidad que supervise la caracterización de la mujer en los medios de comunicación públicos y privados;</w:t>
      </w:r>
      <w:bookmarkEnd w:id="52"/>
    </w:p>
    <w:p w14:paraId="1215C1CF" w14:textId="37F7A3D5" w:rsidR="004E3FF9" w:rsidRPr="003C7C55" w:rsidRDefault="000D1D93" w:rsidP="000D1D93">
      <w:pPr>
        <w:pStyle w:val="SingleTxt"/>
        <w:rPr>
          <w:lang w:val="es-ES" w:eastAsia="en-US"/>
        </w:rPr>
      </w:pPr>
      <w:bookmarkStart w:id="53" w:name="bookmark_1390"/>
      <w:r w:rsidRPr="003C7C55">
        <w:rPr>
          <w:lang w:val="es-ES" w:eastAsia="en-US"/>
        </w:rPr>
        <w:tab/>
        <w:t>c)</w:t>
      </w:r>
      <w:r w:rsidRPr="003C7C55">
        <w:rPr>
          <w:lang w:val="es-ES" w:eastAsia="en-US"/>
        </w:rPr>
        <w:tab/>
      </w:r>
      <w:r w:rsidR="004E3FF9" w:rsidRPr="003C7C55">
        <w:rPr>
          <w:b/>
          <w:lang w:val="es-ES" w:eastAsia="en-US"/>
        </w:rPr>
        <w:t>Amplíe la capacitación con perspectiva de género a los medios de comunicación privados, animándolos a transmitir una imagen positiva de la mujer y de su igualdad con el hombre en la vida pública y privada y a eliminar la imagen de las mujeres como objetos sexuales</w:t>
      </w:r>
      <w:r w:rsidR="0039380A" w:rsidRPr="003C7C55">
        <w:rPr>
          <w:b/>
          <w:lang w:val="es-ES" w:eastAsia="en-US"/>
        </w:rPr>
        <w:t>.</w:t>
      </w:r>
      <w:bookmarkEnd w:id="53"/>
    </w:p>
    <w:p w14:paraId="67B8EEC6" w14:textId="77777777" w:rsidR="00B64BBF" w:rsidRPr="003C7C55" w:rsidRDefault="00B64BBF" w:rsidP="00B64BBF">
      <w:pPr>
        <w:pStyle w:val="SingleTxt"/>
        <w:spacing w:after="0" w:line="120" w:lineRule="exact"/>
        <w:rPr>
          <w:sz w:val="10"/>
          <w:szCs w:val="10"/>
          <w:lang w:val="es-ES"/>
        </w:rPr>
      </w:pPr>
      <w:bookmarkStart w:id="54" w:name="bookmark_1391"/>
    </w:p>
    <w:p w14:paraId="3CAD1432"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Violencia por razón de género contra la mujer</w:t>
      </w:r>
      <w:bookmarkEnd w:id="54"/>
    </w:p>
    <w:p w14:paraId="56EC9C14" w14:textId="77777777" w:rsidR="00B64BBF" w:rsidRPr="003C7C55" w:rsidRDefault="00B64BBF" w:rsidP="00B64BBF">
      <w:pPr>
        <w:pStyle w:val="SingleTxt"/>
        <w:spacing w:after="0" w:line="120" w:lineRule="exact"/>
        <w:rPr>
          <w:sz w:val="10"/>
          <w:szCs w:val="10"/>
          <w:lang w:val="es-ES"/>
        </w:rPr>
      </w:pPr>
    </w:p>
    <w:p w14:paraId="4E2C83E8" w14:textId="4E1439BA" w:rsidR="004E3FF9" w:rsidRPr="003C7C55" w:rsidRDefault="004E3FF9" w:rsidP="009F6113">
      <w:pPr>
        <w:pStyle w:val="SingleTxt"/>
        <w:numPr>
          <w:ilvl w:val="0"/>
          <w:numId w:val="5"/>
        </w:numPr>
        <w:tabs>
          <w:tab w:val="num" w:pos="1742"/>
        </w:tabs>
        <w:ind w:left="1267" w:firstLine="0"/>
        <w:rPr>
          <w:szCs w:val="22"/>
          <w:lang w:val="es-ES" w:eastAsia="en-US"/>
        </w:rPr>
      </w:pPr>
      <w:bookmarkStart w:id="55" w:name="bookmark_1392"/>
      <w:r w:rsidRPr="003C7C55">
        <w:rPr>
          <w:szCs w:val="22"/>
          <w:lang w:val="es-ES" w:eastAsia="en-US"/>
        </w:rPr>
        <w:t>El Comité acoge con satisfacción la aprobación de legislación sobre la protección integral de las mujeres contra toda forma de violencia, incluido el feminicidio</w:t>
      </w:r>
      <w:r w:rsidR="0039380A" w:rsidRPr="003C7C55">
        <w:rPr>
          <w:szCs w:val="22"/>
          <w:lang w:val="es-ES" w:eastAsia="en-US"/>
        </w:rPr>
        <w:t>.</w:t>
      </w:r>
      <w:r w:rsidRPr="003C7C55">
        <w:rPr>
          <w:szCs w:val="22"/>
          <w:lang w:val="es-ES" w:eastAsia="en-US"/>
        </w:rPr>
        <w:t xml:space="preserve"> Toma nota de la creación de un foro interinstitucional para la prevención, respuesta, seguimiento y protección a las mujeres en situaciones de violencia y de un registro unificado de servicios públicos brindados a mujeres víctimas de violencia por razón de género, doméstica e intrafamiliar</w:t>
      </w:r>
      <w:r w:rsidR="0039380A" w:rsidRPr="003C7C55">
        <w:rPr>
          <w:szCs w:val="22"/>
          <w:lang w:val="es-ES" w:eastAsia="en-US"/>
        </w:rPr>
        <w:t>.</w:t>
      </w:r>
      <w:r w:rsidRPr="003C7C55">
        <w:rPr>
          <w:szCs w:val="22"/>
          <w:lang w:val="es-ES" w:eastAsia="en-US"/>
        </w:rPr>
        <w:t xml:space="preserve"> Sin embargo, observa con preocupación lo siguiente:</w:t>
      </w:r>
      <w:bookmarkEnd w:id="55"/>
    </w:p>
    <w:p w14:paraId="1CCD308D" w14:textId="77777777" w:rsidR="004E3FF9" w:rsidRPr="003C7C55" w:rsidRDefault="00716184" w:rsidP="00716184">
      <w:pPr>
        <w:pStyle w:val="SingleTxt"/>
        <w:rPr>
          <w:lang w:val="es-ES" w:eastAsia="en-US"/>
        </w:rPr>
      </w:pPr>
      <w:bookmarkStart w:id="56" w:name="bookmark_1393"/>
      <w:r w:rsidRPr="003C7C55">
        <w:rPr>
          <w:lang w:val="es-ES" w:eastAsia="en-US"/>
        </w:rPr>
        <w:tab/>
        <w:t>a)</w:t>
      </w:r>
      <w:r w:rsidRPr="003C7C55">
        <w:rPr>
          <w:lang w:val="es-ES" w:eastAsia="en-US"/>
        </w:rPr>
        <w:tab/>
      </w:r>
      <w:r w:rsidR="004E3FF9" w:rsidRPr="003C7C55">
        <w:rPr>
          <w:lang w:val="es-ES" w:eastAsia="en-US"/>
        </w:rPr>
        <w:t>La insuficiencia de los recursos asignados a la aplicación del plan nacional para la prevención, atención, seguimiento de casos y protección a mujeres en situaciones de violencia;</w:t>
      </w:r>
      <w:bookmarkEnd w:id="56"/>
    </w:p>
    <w:p w14:paraId="06CC5FD4" w14:textId="77777777" w:rsidR="004E3FF9" w:rsidRPr="003C7C55" w:rsidRDefault="00716184" w:rsidP="00716184">
      <w:pPr>
        <w:pStyle w:val="SingleTxt"/>
        <w:rPr>
          <w:lang w:val="es-ES" w:eastAsia="en-US"/>
        </w:rPr>
      </w:pPr>
      <w:bookmarkStart w:id="57" w:name="bookmark_1394"/>
      <w:r w:rsidRPr="003C7C55">
        <w:rPr>
          <w:lang w:val="es-ES" w:eastAsia="en-US"/>
        </w:rPr>
        <w:tab/>
        <w:t>b)</w:t>
      </w:r>
      <w:r w:rsidRPr="003C7C55">
        <w:rPr>
          <w:lang w:val="es-ES" w:eastAsia="en-US"/>
        </w:rPr>
        <w:tab/>
      </w:r>
      <w:r w:rsidR="004E3FF9" w:rsidRPr="003C7C55">
        <w:rPr>
          <w:lang w:val="es-ES" w:eastAsia="en-US"/>
        </w:rPr>
        <w:t>La escasez de denuncias de violencia contra la mujer, en parte a causa de las limitaciones en la disponibilidad de los servicios de protección a las víctimas y en el acceso a ellos;</w:t>
      </w:r>
      <w:bookmarkEnd w:id="57"/>
    </w:p>
    <w:p w14:paraId="539D693F" w14:textId="77777777" w:rsidR="0039380A" w:rsidRPr="003C7C55" w:rsidRDefault="00716184" w:rsidP="00716184">
      <w:pPr>
        <w:pStyle w:val="SingleTxt"/>
        <w:rPr>
          <w:lang w:val="es-ES" w:eastAsia="en-US"/>
        </w:rPr>
      </w:pPr>
      <w:bookmarkStart w:id="58" w:name="bookmark_1395"/>
      <w:r w:rsidRPr="003C7C55">
        <w:rPr>
          <w:lang w:val="es-ES" w:eastAsia="en-US"/>
        </w:rPr>
        <w:tab/>
        <w:t>c)</w:t>
      </w:r>
      <w:r w:rsidRPr="003C7C55">
        <w:rPr>
          <w:lang w:val="es-ES" w:eastAsia="en-US"/>
        </w:rPr>
        <w:tab/>
      </w:r>
      <w:r w:rsidR="004E3FF9" w:rsidRPr="003C7C55">
        <w:rPr>
          <w:lang w:val="es-ES" w:eastAsia="en-US"/>
        </w:rPr>
        <w:t>La violencia doméstica contra la mujer representa presuntamente la mitad de los casos de violencia por razón de género en el Estado parte;</w:t>
      </w:r>
      <w:bookmarkEnd w:id="58"/>
    </w:p>
    <w:p w14:paraId="2B0D60D7" w14:textId="7C7C9CEF" w:rsidR="004E3FF9" w:rsidRPr="003C7C55" w:rsidRDefault="00716184" w:rsidP="00716184">
      <w:pPr>
        <w:pStyle w:val="SingleTxt"/>
        <w:rPr>
          <w:lang w:val="es-ES" w:eastAsia="en-US"/>
        </w:rPr>
      </w:pPr>
      <w:bookmarkStart w:id="59" w:name="bookmark_1396"/>
      <w:r w:rsidRPr="003C7C55">
        <w:rPr>
          <w:lang w:val="es-ES" w:eastAsia="en-US"/>
        </w:rPr>
        <w:tab/>
        <w:t>d)</w:t>
      </w:r>
      <w:r w:rsidRPr="003C7C55">
        <w:rPr>
          <w:lang w:val="es-ES" w:eastAsia="en-US"/>
        </w:rPr>
        <w:tab/>
      </w:r>
      <w:r w:rsidR="004E3FF9" w:rsidRPr="003C7C55">
        <w:rPr>
          <w:lang w:val="es-ES" w:eastAsia="en-US"/>
        </w:rPr>
        <w:t>El discurso de odio y los actos de violencia contra las mujeres transexuales, así como la falta de investigaciones, enjuiciamientos y condenas de los autores de tales actos;</w:t>
      </w:r>
      <w:bookmarkEnd w:id="59"/>
    </w:p>
    <w:p w14:paraId="1DB371F4" w14:textId="681AD208" w:rsidR="0039380A" w:rsidRPr="003C7C55" w:rsidRDefault="00716184" w:rsidP="00716184">
      <w:pPr>
        <w:pStyle w:val="SingleTxt"/>
        <w:rPr>
          <w:lang w:val="es-ES" w:eastAsia="en-US"/>
        </w:rPr>
      </w:pPr>
      <w:bookmarkStart w:id="60" w:name="bookmark_1397"/>
      <w:r w:rsidRPr="003C7C55">
        <w:rPr>
          <w:lang w:val="es-ES" w:eastAsia="en-US"/>
        </w:rPr>
        <w:tab/>
        <w:t>e)</w:t>
      </w:r>
      <w:r w:rsidRPr="003C7C55">
        <w:rPr>
          <w:lang w:val="es-ES" w:eastAsia="en-US"/>
        </w:rPr>
        <w:tab/>
      </w:r>
      <w:r w:rsidR="004E3FF9" w:rsidRPr="003C7C55">
        <w:rPr>
          <w:lang w:val="es-ES" w:eastAsia="en-US"/>
        </w:rPr>
        <w:t>La falta de un sistema unificado, coordinado y coherente de obtención de datos sobre la violencia de género (</w:t>
      </w:r>
      <w:hyperlink r:id="rId27" w:history="1">
        <w:r w:rsidR="004E3FF9" w:rsidRPr="003C7C55">
          <w:rPr>
            <w:rStyle w:val="Hipervnculo"/>
            <w:lang w:val="es-ES" w:eastAsia="en-US"/>
          </w:rPr>
          <w:t>CEDAW/C/PRY/CO/</w:t>
        </w:r>
        <w:r w:rsidR="0039380A" w:rsidRPr="003C7C55">
          <w:rPr>
            <w:rStyle w:val="Hipervnculo"/>
            <w:lang w:val="es-ES" w:eastAsia="en-US"/>
          </w:rPr>
          <w:t>6</w:t>
        </w:r>
      </w:hyperlink>
      <w:r w:rsidR="004E3FF9" w:rsidRPr="003C7C55">
        <w:rPr>
          <w:lang w:val="es-ES" w:eastAsia="en-US"/>
        </w:rPr>
        <w:t>, párr</w:t>
      </w:r>
      <w:r w:rsidR="0039380A" w:rsidRPr="003C7C55">
        <w:rPr>
          <w:lang w:val="es-ES" w:eastAsia="en-US"/>
        </w:rPr>
        <w:t>. 20</w:t>
      </w:r>
      <w:r w:rsidR="004E3FF9" w:rsidRPr="003C7C55">
        <w:rPr>
          <w:lang w:val="es-ES" w:eastAsia="en-US"/>
        </w:rPr>
        <w:t>), de conformidad con lo dispuesto en el artículo</w:t>
      </w:r>
      <w:r w:rsidR="0039380A" w:rsidRPr="003C7C55">
        <w:rPr>
          <w:lang w:val="es-ES" w:eastAsia="en-US"/>
        </w:rPr>
        <w:t xml:space="preserve"> 29 </w:t>
      </w:r>
      <w:r w:rsidR="004E3FF9" w:rsidRPr="003C7C55">
        <w:rPr>
          <w:lang w:val="es-ES" w:eastAsia="en-US"/>
        </w:rPr>
        <w:t>de la Ley sobre la protección integral de las mujeres contra toda forma de violencia</w:t>
      </w:r>
      <w:r w:rsidR="0039380A" w:rsidRPr="003C7C55">
        <w:rPr>
          <w:lang w:val="es-ES" w:eastAsia="en-US"/>
        </w:rPr>
        <w:t>.</w:t>
      </w:r>
      <w:bookmarkEnd w:id="60"/>
    </w:p>
    <w:p w14:paraId="302F9EDA"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61" w:name="bookmark_1398"/>
      <w:r w:rsidRPr="003C7C55">
        <w:rPr>
          <w:b/>
          <w:szCs w:val="22"/>
          <w:lang w:val="es-ES" w:eastAsia="en-US"/>
        </w:rPr>
        <w:t>El Comité recomienda al Estado parte que:</w:t>
      </w:r>
      <w:bookmarkEnd w:id="61"/>
    </w:p>
    <w:p w14:paraId="2DEDE5A4" w14:textId="77777777" w:rsidR="004E3FF9" w:rsidRPr="003C7C55" w:rsidRDefault="00716184" w:rsidP="00716184">
      <w:pPr>
        <w:pStyle w:val="SingleTxt"/>
        <w:rPr>
          <w:lang w:val="es-ES" w:eastAsia="en-US"/>
        </w:rPr>
      </w:pPr>
      <w:bookmarkStart w:id="62" w:name="bookmark_1399"/>
      <w:r w:rsidRPr="003C7C55">
        <w:rPr>
          <w:lang w:val="es-ES" w:eastAsia="en-US"/>
        </w:rPr>
        <w:tab/>
        <w:t>a)</w:t>
      </w:r>
      <w:r w:rsidRPr="003C7C55">
        <w:rPr>
          <w:lang w:val="es-ES" w:eastAsia="en-US"/>
        </w:rPr>
        <w:tab/>
      </w:r>
      <w:r w:rsidR="004E3FF9" w:rsidRPr="003C7C55">
        <w:rPr>
          <w:b/>
          <w:lang w:val="es-ES" w:eastAsia="en-US"/>
        </w:rPr>
        <w:t>Asigne los recursos humanos, técnicos y financieros suficientes para la aplicación del plan nacional para la prevención, atención, seguimiento de casos y protección a mujeres en situaciones de violencia, así como para su observación y evaluación;</w:t>
      </w:r>
      <w:bookmarkEnd w:id="62"/>
    </w:p>
    <w:p w14:paraId="1A8F9341" w14:textId="77777777" w:rsidR="004E3FF9" w:rsidRPr="003C7C55" w:rsidRDefault="00716184" w:rsidP="00716184">
      <w:pPr>
        <w:pStyle w:val="SingleTxt"/>
        <w:rPr>
          <w:lang w:val="es-ES" w:eastAsia="en-US"/>
        </w:rPr>
      </w:pPr>
      <w:bookmarkStart w:id="63" w:name="bookmark_1400"/>
      <w:r w:rsidRPr="003C7C55">
        <w:rPr>
          <w:lang w:val="es-ES" w:eastAsia="en-US"/>
        </w:rPr>
        <w:tab/>
        <w:t>b)</w:t>
      </w:r>
      <w:r w:rsidRPr="003C7C55">
        <w:rPr>
          <w:lang w:val="es-ES" w:eastAsia="en-US"/>
        </w:rPr>
        <w:tab/>
      </w:r>
      <w:r w:rsidR="004E3FF9" w:rsidRPr="003C7C55">
        <w:rPr>
          <w:b/>
          <w:lang w:val="es-ES" w:eastAsia="en-US"/>
        </w:rPr>
        <w:t>Facilite las denuncias de violencia contra la mujer, en particular mejorando el acceso a los medios para denunciar la violencia y aumentando el número de refugios para las víctimas, ofreciéndoles protección, asistencia jurídica y médica, rehabilitación psicosocial y programas de reintegración, especialmente en las zonas rurales;</w:t>
      </w:r>
      <w:bookmarkEnd w:id="63"/>
    </w:p>
    <w:p w14:paraId="1110F3D1" w14:textId="77777777" w:rsidR="004E3FF9" w:rsidRPr="003C7C55" w:rsidRDefault="00716184" w:rsidP="00716184">
      <w:pPr>
        <w:pStyle w:val="SingleTxt"/>
        <w:rPr>
          <w:lang w:val="es-ES" w:eastAsia="en-US"/>
        </w:rPr>
      </w:pPr>
      <w:bookmarkStart w:id="64" w:name="bookmark_1401"/>
      <w:r w:rsidRPr="003C7C55">
        <w:rPr>
          <w:lang w:val="es-ES" w:eastAsia="en-US"/>
        </w:rPr>
        <w:tab/>
        <w:t>c)</w:t>
      </w:r>
      <w:r w:rsidRPr="003C7C55">
        <w:rPr>
          <w:lang w:val="es-ES" w:eastAsia="en-US"/>
        </w:rPr>
        <w:tab/>
      </w:r>
      <w:r w:rsidR="004E3FF9" w:rsidRPr="003C7C55">
        <w:rPr>
          <w:b/>
          <w:lang w:val="es-ES" w:eastAsia="en-US"/>
        </w:rPr>
        <w:t>Vele por que las niñas y las mujeres estén protegidas contra la violencia de género, especialmente en el ámbito doméstico, ofrezca capacitación sobre el protocolo regional para la investigación con perspectiva de género de los delitos de violencia contra las mujeres cometidos en el ámbito intrafamiliar, vigile su ejecución y tenga en cuenta los resultados de la encuesta sobre la violencia doméstica por razón de género con el fin de elaborar medidas específicas para sensibilizar a la población sobre la gravedad de la violencia doméstica y alentar a las mujeres a denunciar la violencia doméstica;</w:t>
      </w:r>
      <w:bookmarkEnd w:id="64"/>
    </w:p>
    <w:p w14:paraId="52664C2D" w14:textId="77777777" w:rsidR="004E3FF9" w:rsidRPr="003C7C55" w:rsidRDefault="00716184" w:rsidP="00716184">
      <w:pPr>
        <w:pStyle w:val="SingleTxt"/>
        <w:rPr>
          <w:lang w:val="es-ES" w:eastAsia="en-US"/>
        </w:rPr>
      </w:pPr>
      <w:bookmarkStart w:id="65" w:name="bookmark_1402"/>
      <w:r w:rsidRPr="003C7C55">
        <w:rPr>
          <w:lang w:val="es-ES" w:eastAsia="en-US"/>
        </w:rPr>
        <w:tab/>
        <w:t>d)</w:t>
      </w:r>
      <w:r w:rsidRPr="003C7C55">
        <w:rPr>
          <w:lang w:val="es-ES" w:eastAsia="en-US"/>
        </w:rPr>
        <w:tab/>
      </w:r>
      <w:r w:rsidR="004E3FF9" w:rsidRPr="003C7C55">
        <w:rPr>
          <w:b/>
          <w:lang w:val="es-ES" w:eastAsia="en-US"/>
        </w:rPr>
        <w:t>Vele por que todas las denuncias de acoso sexual y violencia de género, en particular contra las mujeres transexuales, sean investigadas, enjuiciadas y castigadas con sanciones proporcionales a la gravedad del delito;</w:t>
      </w:r>
      <w:bookmarkEnd w:id="65"/>
    </w:p>
    <w:p w14:paraId="547E5E61" w14:textId="3E55615A" w:rsidR="0039380A" w:rsidRPr="003C7C55" w:rsidRDefault="00716184" w:rsidP="00716184">
      <w:pPr>
        <w:pStyle w:val="SingleTxt"/>
        <w:rPr>
          <w:lang w:val="es-ES" w:eastAsia="en-US"/>
        </w:rPr>
      </w:pPr>
      <w:bookmarkStart w:id="66" w:name="bookmark_1403"/>
      <w:r w:rsidRPr="003C7C55">
        <w:rPr>
          <w:lang w:val="es-ES" w:eastAsia="en-US"/>
        </w:rPr>
        <w:tab/>
        <w:t>e)</w:t>
      </w:r>
      <w:r w:rsidRPr="003C7C55">
        <w:rPr>
          <w:lang w:val="es-ES" w:eastAsia="en-US"/>
        </w:rPr>
        <w:tab/>
      </w:r>
      <w:r w:rsidR="004E3FF9" w:rsidRPr="003C7C55">
        <w:rPr>
          <w:b/>
          <w:lang w:val="es-ES" w:eastAsia="en-US"/>
        </w:rPr>
        <w:t>Establezca un sistema unificado, coordinado y coherente de obtención de datos sobre la violencia de género (</w:t>
      </w:r>
      <w:hyperlink r:id="rId28" w:history="1">
        <w:r w:rsidR="004E3FF9" w:rsidRPr="003C7C55">
          <w:rPr>
            <w:rStyle w:val="Hipervnculo"/>
            <w:b/>
            <w:lang w:val="es-ES" w:eastAsia="en-US"/>
          </w:rPr>
          <w:t>CEDAW/C/PRY/CO/</w:t>
        </w:r>
        <w:r w:rsidR="0039380A" w:rsidRPr="003C7C55">
          <w:rPr>
            <w:rStyle w:val="Hipervnculo"/>
            <w:b/>
            <w:lang w:val="es-ES" w:eastAsia="en-US"/>
          </w:rPr>
          <w:t>6</w:t>
        </w:r>
      </w:hyperlink>
      <w:r w:rsidR="004E3FF9" w:rsidRPr="003C7C55">
        <w:rPr>
          <w:b/>
          <w:lang w:val="es-ES" w:eastAsia="en-US"/>
        </w:rPr>
        <w:t>, párr</w:t>
      </w:r>
      <w:r w:rsidR="0039380A" w:rsidRPr="003C7C55">
        <w:rPr>
          <w:b/>
          <w:lang w:val="es-ES" w:eastAsia="en-US"/>
        </w:rPr>
        <w:t>. 20</w:t>
      </w:r>
      <w:r w:rsidR="004E3FF9" w:rsidRPr="003C7C55">
        <w:rPr>
          <w:b/>
          <w:lang w:val="es-ES" w:eastAsia="en-US"/>
        </w:rPr>
        <w:t>) y asigne los recursos suficientes para su funcionamiento, velando por que el sistema incluya datos desglosados por sexo, edad y relación entre la víctima y el agresor, sobre el feminicidio, la violencia contra las mujeres lesbianas, bisexuales y transexuales y las personas intersexuales, las mujeres que son víctimas de la trata y las mujeres que se dedican a la prostitución, así como sobre el número de investigaciones, enjuiciamientos, condenas y sobre las penas impuestas a los autores de tales actos</w:t>
      </w:r>
      <w:r w:rsidR="0039380A" w:rsidRPr="003C7C55">
        <w:rPr>
          <w:b/>
          <w:lang w:val="es-ES" w:eastAsia="en-US"/>
        </w:rPr>
        <w:t>.</w:t>
      </w:r>
      <w:bookmarkEnd w:id="66"/>
    </w:p>
    <w:p w14:paraId="47945713" w14:textId="54582488" w:rsidR="00B64BBF" w:rsidRPr="003C7C55" w:rsidRDefault="00B64BBF" w:rsidP="00B64BBF">
      <w:pPr>
        <w:pStyle w:val="SingleTxt"/>
        <w:spacing w:after="0" w:line="120" w:lineRule="exact"/>
        <w:rPr>
          <w:sz w:val="10"/>
          <w:szCs w:val="10"/>
          <w:lang w:val="es-ES"/>
        </w:rPr>
      </w:pPr>
      <w:bookmarkStart w:id="67" w:name="bookmark_1404"/>
    </w:p>
    <w:p w14:paraId="0AA6949A" w14:textId="77777777" w:rsidR="0039380A"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Trata y explotación de la prostitución</w:t>
      </w:r>
      <w:bookmarkEnd w:id="67"/>
    </w:p>
    <w:p w14:paraId="631399AE" w14:textId="5500616E" w:rsidR="00B64BBF" w:rsidRPr="003C7C55" w:rsidRDefault="00B64BBF" w:rsidP="00B64BBF">
      <w:pPr>
        <w:pStyle w:val="SingleTxt"/>
        <w:spacing w:after="0" w:line="120" w:lineRule="exact"/>
        <w:rPr>
          <w:sz w:val="10"/>
          <w:szCs w:val="10"/>
          <w:lang w:val="es-ES"/>
        </w:rPr>
      </w:pPr>
    </w:p>
    <w:p w14:paraId="01FB8BA5" w14:textId="6D27FBA7" w:rsidR="004E3FF9" w:rsidRPr="003C7C55" w:rsidRDefault="004E3FF9" w:rsidP="009F6113">
      <w:pPr>
        <w:pStyle w:val="SingleTxt"/>
        <w:numPr>
          <w:ilvl w:val="0"/>
          <w:numId w:val="5"/>
        </w:numPr>
        <w:tabs>
          <w:tab w:val="num" w:pos="1742"/>
        </w:tabs>
        <w:ind w:left="1267" w:firstLine="0"/>
        <w:rPr>
          <w:szCs w:val="22"/>
          <w:lang w:val="es-ES" w:eastAsia="en-US"/>
        </w:rPr>
      </w:pPr>
      <w:bookmarkStart w:id="68" w:name="bookmark_1405"/>
      <w:r w:rsidRPr="003C7C55">
        <w:rPr>
          <w:szCs w:val="22"/>
          <w:lang w:val="es-ES" w:eastAsia="en-US"/>
        </w:rPr>
        <w:t>El Comité acoge con satisfacción la aprobación de legislación contra la trata de personas, de un plan nacional de prevención y lucha contra la trata de personas y de un protocolo general para dar respuesta a las víctimas de la trata</w:t>
      </w:r>
      <w:r w:rsidR="0039380A" w:rsidRPr="003C7C55">
        <w:rPr>
          <w:szCs w:val="22"/>
          <w:lang w:val="es-ES" w:eastAsia="en-US"/>
        </w:rPr>
        <w:t>.</w:t>
      </w:r>
      <w:r w:rsidRPr="003C7C55">
        <w:rPr>
          <w:szCs w:val="22"/>
          <w:lang w:val="es-ES" w:eastAsia="en-US"/>
        </w:rPr>
        <w:t xml:space="preserve"> Sin embargo, le</w:t>
      </w:r>
      <w:r w:rsidR="0039380A" w:rsidRPr="003C7C55">
        <w:rPr>
          <w:szCs w:val="22"/>
          <w:lang w:val="es-ES" w:eastAsia="en-US"/>
        </w:rPr>
        <w:t xml:space="preserve"> </w:t>
      </w:r>
      <w:r w:rsidRPr="003C7C55">
        <w:rPr>
          <w:szCs w:val="22"/>
          <w:lang w:val="es-ES" w:eastAsia="en-US"/>
        </w:rPr>
        <w:t>sigue preocupando que el Estado parte continúe siendo un país de origen, tránsito y destino de la trata nacional e internacional de mujeres y niñas, además de lo</w:t>
      </w:r>
      <w:r w:rsidR="0039380A" w:rsidRPr="003C7C55">
        <w:rPr>
          <w:szCs w:val="22"/>
          <w:lang w:val="es-ES" w:eastAsia="en-US"/>
        </w:rPr>
        <w:t xml:space="preserve"> </w:t>
      </w:r>
      <w:r w:rsidRPr="003C7C55">
        <w:rPr>
          <w:szCs w:val="22"/>
          <w:lang w:val="es-ES" w:eastAsia="en-US"/>
        </w:rPr>
        <w:t>siguiente:</w:t>
      </w:r>
      <w:bookmarkEnd w:id="68"/>
    </w:p>
    <w:p w14:paraId="2A28EDD8" w14:textId="77777777" w:rsidR="004E3FF9" w:rsidRPr="003C7C55" w:rsidRDefault="00B72D54" w:rsidP="00B72D54">
      <w:pPr>
        <w:pStyle w:val="SingleTxt"/>
        <w:rPr>
          <w:lang w:val="es-ES" w:eastAsia="en-US"/>
        </w:rPr>
      </w:pPr>
      <w:bookmarkStart w:id="69" w:name="bookmark_1406"/>
      <w:r w:rsidRPr="003C7C55">
        <w:rPr>
          <w:lang w:val="es-ES" w:eastAsia="en-US"/>
        </w:rPr>
        <w:tab/>
        <w:t>a)</w:t>
      </w:r>
      <w:r w:rsidRPr="003C7C55">
        <w:rPr>
          <w:lang w:val="es-ES" w:eastAsia="en-US"/>
        </w:rPr>
        <w:tab/>
      </w:r>
      <w:r w:rsidR="004E3FF9" w:rsidRPr="003C7C55">
        <w:rPr>
          <w:lang w:val="es-ES" w:eastAsia="en-US"/>
        </w:rPr>
        <w:t>La falta de una perspectiva de género e interculturalidad en la estrategia de lucha contra la trata de personas, a pesar de que todos los casos de trata de personas con fines de explotación sexual registrados ante el Ministerio Público durante los últimos cinco años afectaron a mujeres y a pesar de la vulnerabilidad de las mujeres indígenas y migrantes ante las redes delictivas de trata;</w:t>
      </w:r>
      <w:bookmarkEnd w:id="69"/>
    </w:p>
    <w:p w14:paraId="7F393416" w14:textId="15AA7668" w:rsidR="004E3FF9" w:rsidRPr="003C7C55" w:rsidRDefault="00B72D54" w:rsidP="00B72D54">
      <w:pPr>
        <w:pStyle w:val="SingleTxt"/>
        <w:rPr>
          <w:lang w:val="es-ES" w:eastAsia="en-US"/>
        </w:rPr>
      </w:pPr>
      <w:bookmarkStart w:id="70" w:name="bookmark_1407"/>
      <w:r w:rsidRPr="003C7C55">
        <w:rPr>
          <w:lang w:val="es-ES" w:eastAsia="en-US"/>
        </w:rPr>
        <w:tab/>
        <w:t>b)</w:t>
      </w:r>
      <w:r w:rsidRPr="003C7C55">
        <w:rPr>
          <w:lang w:val="es-ES" w:eastAsia="en-US"/>
        </w:rPr>
        <w:tab/>
      </w:r>
      <w:r w:rsidR="004E3FF9" w:rsidRPr="003C7C55">
        <w:rPr>
          <w:lang w:val="es-ES" w:eastAsia="en-US"/>
        </w:rPr>
        <w:t>La falta de un mecanismo interinstitucional que coordine las medidas contra la trata de personas, de conformidad con lo dispuesto en el artículo</w:t>
      </w:r>
      <w:r w:rsidR="0039380A" w:rsidRPr="003C7C55">
        <w:rPr>
          <w:lang w:val="es-ES" w:eastAsia="en-US"/>
        </w:rPr>
        <w:t xml:space="preserve"> 44 </w:t>
      </w:r>
      <w:r w:rsidR="004E3FF9" w:rsidRPr="003C7C55">
        <w:rPr>
          <w:lang w:val="es-ES" w:eastAsia="en-US"/>
        </w:rPr>
        <w:t>de la Ley contra la trata de personas, con un fondo nacional para prevenir la trata de personas y brindar asistencia a las víctimas, de conformidad con el artículo</w:t>
      </w:r>
      <w:r w:rsidR="0039380A" w:rsidRPr="003C7C55">
        <w:rPr>
          <w:lang w:val="es-ES" w:eastAsia="en-US"/>
        </w:rPr>
        <w:t xml:space="preserve"> 50 </w:t>
      </w:r>
      <w:r w:rsidR="004E3FF9" w:rsidRPr="003C7C55">
        <w:rPr>
          <w:lang w:val="es-ES" w:eastAsia="en-US"/>
        </w:rPr>
        <w:t>de</w:t>
      </w:r>
      <w:r w:rsidR="0039380A" w:rsidRPr="003C7C55">
        <w:rPr>
          <w:lang w:val="es-ES" w:eastAsia="en-US"/>
        </w:rPr>
        <w:t xml:space="preserve"> </w:t>
      </w:r>
      <w:r w:rsidR="004E3FF9" w:rsidRPr="003C7C55">
        <w:rPr>
          <w:lang w:val="es-ES" w:eastAsia="en-US"/>
        </w:rPr>
        <w:t>la</w:t>
      </w:r>
      <w:r w:rsidR="0039380A" w:rsidRPr="003C7C55">
        <w:rPr>
          <w:lang w:val="es-ES" w:eastAsia="en-US"/>
        </w:rPr>
        <w:t xml:space="preserve"> </w:t>
      </w:r>
      <w:r w:rsidR="004E3FF9" w:rsidRPr="003C7C55">
        <w:rPr>
          <w:lang w:val="es-ES" w:eastAsia="en-US"/>
        </w:rPr>
        <w:t>Ley;</w:t>
      </w:r>
      <w:bookmarkEnd w:id="70"/>
    </w:p>
    <w:p w14:paraId="50901ECF" w14:textId="411E1DFC" w:rsidR="004E3FF9" w:rsidRPr="003C7C55" w:rsidRDefault="00B72D54" w:rsidP="00562A1A">
      <w:pPr>
        <w:pStyle w:val="SingleTxt"/>
        <w:keepLines/>
        <w:rPr>
          <w:lang w:val="es-ES" w:eastAsia="en-US"/>
        </w:rPr>
      </w:pPr>
      <w:bookmarkStart w:id="71" w:name="bookmark_1408"/>
      <w:r w:rsidRPr="003C7C55">
        <w:rPr>
          <w:lang w:val="es-ES" w:eastAsia="en-US"/>
        </w:rPr>
        <w:tab/>
        <w:t>c)</w:t>
      </w:r>
      <w:r w:rsidRPr="003C7C55">
        <w:rPr>
          <w:lang w:val="es-ES" w:eastAsia="en-US"/>
        </w:rPr>
        <w:tab/>
      </w:r>
      <w:r w:rsidR="004E3FF9" w:rsidRPr="003C7C55">
        <w:rPr>
          <w:lang w:val="es-ES" w:eastAsia="en-US"/>
        </w:rPr>
        <w:t>La falta de un mecanismo para la identificación de las víctimas, de conformidad con el artículo</w:t>
      </w:r>
      <w:r w:rsidR="0039380A" w:rsidRPr="003C7C55">
        <w:rPr>
          <w:lang w:val="es-ES" w:eastAsia="en-US"/>
        </w:rPr>
        <w:t xml:space="preserve"> 30 </w:t>
      </w:r>
      <w:r w:rsidR="004E3FF9" w:rsidRPr="003C7C55">
        <w:rPr>
          <w:lang w:val="es-ES" w:eastAsia="en-US"/>
        </w:rPr>
        <w:t>de la Ley contra la trata de personas, a fin de facilitar la pronta derivación de las mujeres y las niñas que son víctimas de la trata a los servicios de protección y rehabilitación, incluidos los refugios temporales;</w:t>
      </w:r>
      <w:bookmarkEnd w:id="71"/>
    </w:p>
    <w:p w14:paraId="0B8C1636" w14:textId="77777777" w:rsidR="0039380A" w:rsidRPr="003C7C55" w:rsidRDefault="00B72D54" w:rsidP="00B72D54">
      <w:pPr>
        <w:pStyle w:val="SingleTxt"/>
        <w:rPr>
          <w:lang w:val="es-ES" w:eastAsia="en-US"/>
        </w:rPr>
      </w:pPr>
      <w:bookmarkStart w:id="72" w:name="bookmark_1409"/>
      <w:r w:rsidRPr="003C7C55">
        <w:rPr>
          <w:lang w:val="es-ES" w:eastAsia="en-US"/>
        </w:rPr>
        <w:tab/>
        <w:t>d)</w:t>
      </w:r>
      <w:r w:rsidRPr="003C7C55">
        <w:rPr>
          <w:lang w:val="es-ES" w:eastAsia="en-US"/>
        </w:rPr>
        <w:tab/>
      </w:r>
      <w:r w:rsidR="004E3FF9" w:rsidRPr="003C7C55">
        <w:rPr>
          <w:lang w:val="es-ES" w:eastAsia="en-US"/>
        </w:rPr>
        <w:t>La falta de datos sobre la trata y sobre las condenas impuestas a los autores de delitos relacionados con la trata</w:t>
      </w:r>
      <w:r w:rsidR="0039380A" w:rsidRPr="003C7C55">
        <w:rPr>
          <w:lang w:val="es-ES" w:eastAsia="en-US"/>
        </w:rPr>
        <w:t>.</w:t>
      </w:r>
      <w:bookmarkEnd w:id="72"/>
    </w:p>
    <w:p w14:paraId="0A20375F" w14:textId="339F910B" w:rsidR="004E3FF9" w:rsidRPr="003C7C55" w:rsidRDefault="004E3FF9" w:rsidP="009F6113">
      <w:pPr>
        <w:pStyle w:val="SingleTxt"/>
        <w:numPr>
          <w:ilvl w:val="0"/>
          <w:numId w:val="5"/>
        </w:numPr>
        <w:tabs>
          <w:tab w:val="num" w:pos="1742"/>
        </w:tabs>
        <w:ind w:left="1267" w:firstLine="0"/>
        <w:rPr>
          <w:b/>
          <w:szCs w:val="22"/>
          <w:lang w:val="es-ES" w:eastAsia="en-US"/>
        </w:rPr>
      </w:pPr>
      <w:bookmarkStart w:id="73" w:name="bookmark_1410"/>
      <w:r w:rsidRPr="003C7C55">
        <w:rPr>
          <w:b/>
          <w:szCs w:val="22"/>
          <w:lang w:val="es-ES" w:eastAsia="en-US"/>
        </w:rPr>
        <w:t>El Comité recomienda al Estado parte que:</w:t>
      </w:r>
      <w:bookmarkEnd w:id="73"/>
    </w:p>
    <w:p w14:paraId="10F8F76E" w14:textId="77777777" w:rsidR="004E3FF9" w:rsidRPr="003C7C55" w:rsidRDefault="008B365B" w:rsidP="008B365B">
      <w:pPr>
        <w:pStyle w:val="SingleTxt"/>
        <w:rPr>
          <w:lang w:val="es-ES" w:eastAsia="en-US"/>
        </w:rPr>
      </w:pPr>
      <w:bookmarkStart w:id="74" w:name="bookmark_1411"/>
      <w:r w:rsidRPr="003C7C55">
        <w:rPr>
          <w:lang w:val="es-ES" w:eastAsia="en-US"/>
        </w:rPr>
        <w:tab/>
        <w:t>a)</w:t>
      </w:r>
      <w:r w:rsidRPr="003C7C55">
        <w:rPr>
          <w:lang w:val="es-ES" w:eastAsia="en-US"/>
        </w:rPr>
        <w:tab/>
      </w:r>
      <w:r w:rsidR="004E3FF9" w:rsidRPr="003C7C55">
        <w:rPr>
          <w:b/>
          <w:lang w:val="es-ES" w:eastAsia="en-US"/>
        </w:rPr>
        <w:t>Revise el actual plan nacional para prevenir y combatir la trata de personas, con el fin de abordar la vulnerabilidad específica de las mujeres, y especialmente de las mujeres indígenas y migrantes, ante la trata;</w:t>
      </w:r>
      <w:bookmarkEnd w:id="74"/>
    </w:p>
    <w:p w14:paraId="3A38E81D" w14:textId="7552EFC0" w:rsidR="004E3FF9" w:rsidRPr="003C7C55" w:rsidRDefault="008B365B" w:rsidP="008B365B">
      <w:pPr>
        <w:pStyle w:val="SingleTxt"/>
        <w:rPr>
          <w:lang w:val="es-ES" w:eastAsia="en-US"/>
        </w:rPr>
      </w:pPr>
      <w:bookmarkStart w:id="75" w:name="bookmark_1412"/>
      <w:r w:rsidRPr="003C7C55">
        <w:rPr>
          <w:lang w:val="es-ES" w:eastAsia="en-US"/>
        </w:rPr>
        <w:tab/>
        <w:t>b)</w:t>
      </w:r>
      <w:r w:rsidRPr="003C7C55">
        <w:rPr>
          <w:lang w:val="es-ES" w:eastAsia="en-US"/>
        </w:rPr>
        <w:tab/>
      </w:r>
      <w:r w:rsidR="004E3FF9" w:rsidRPr="003C7C55">
        <w:rPr>
          <w:b/>
          <w:lang w:val="es-ES" w:eastAsia="en-US"/>
        </w:rPr>
        <w:t>Acelere la creación de un mecanismo interinstitucional especializado que coordine las medidas contra la trata de personas (art</w:t>
      </w:r>
      <w:r w:rsidR="0039380A" w:rsidRPr="003C7C55">
        <w:rPr>
          <w:b/>
          <w:lang w:val="es-ES" w:eastAsia="en-US"/>
        </w:rPr>
        <w:t xml:space="preserve">. 44 </w:t>
      </w:r>
      <w:r w:rsidR="004E3FF9" w:rsidRPr="003C7C55">
        <w:rPr>
          <w:b/>
          <w:lang w:val="es-ES" w:eastAsia="en-US"/>
        </w:rPr>
        <w:t>de la Ley contra la trata de personas) y le asigne los recursos humanos, técnicos y financieros necesarios para que pueda abordar la especial vulnerabilidad de las mujeres y las niñas frente a la trata;</w:t>
      </w:r>
      <w:bookmarkEnd w:id="75"/>
    </w:p>
    <w:p w14:paraId="342D805F" w14:textId="77777777" w:rsidR="004E3FF9" w:rsidRPr="003C7C55" w:rsidRDefault="008B365B" w:rsidP="008B365B">
      <w:pPr>
        <w:pStyle w:val="SingleTxt"/>
        <w:rPr>
          <w:lang w:val="es-ES" w:eastAsia="en-US"/>
        </w:rPr>
      </w:pPr>
      <w:bookmarkStart w:id="76" w:name="bookmark_1413"/>
      <w:r w:rsidRPr="003C7C55">
        <w:rPr>
          <w:lang w:val="es-ES" w:eastAsia="en-US"/>
        </w:rPr>
        <w:tab/>
        <w:t>c)</w:t>
      </w:r>
      <w:r w:rsidRPr="003C7C55">
        <w:rPr>
          <w:lang w:val="es-ES" w:eastAsia="en-US"/>
        </w:rPr>
        <w:tab/>
      </w:r>
      <w:r w:rsidR="004E3FF9" w:rsidRPr="003C7C55">
        <w:rPr>
          <w:b/>
          <w:lang w:val="es-ES" w:eastAsia="en-US"/>
        </w:rPr>
        <w:t>Establezca un mecanismo eficaz de identificación de las víctimas para facilitar la derivación de las mujeres y las niñas que son víctimas de la trata a los servicios apropiados de protección y rehabilitación, incluidos los refugios temporales;</w:t>
      </w:r>
      <w:bookmarkEnd w:id="76"/>
    </w:p>
    <w:p w14:paraId="2E316E48" w14:textId="77777777" w:rsidR="0039380A" w:rsidRPr="003C7C55" w:rsidRDefault="008B365B" w:rsidP="008B365B">
      <w:pPr>
        <w:pStyle w:val="SingleTxt"/>
        <w:rPr>
          <w:lang w:val="es-ES" w:eastAsia="en-US"/>
        </w:rPr>
      </w:pPr>
      <w:bookmarkStart w:id="77" w:name="bookmark_1414"/>
      <w:r w:rsidRPr="003C7C55">
        <w:rPr>
          <w:lang w:val="es-ES" w:eastAsia="en-US"/>
        </w:rPr>
        <w:tab/>
        <w:t>d)</w:t>
      </w:r>
      <w:r w:rsidRPr="003C7C55">
        <w:rPr>
          <w:lang w:val="es-ES" w:eastAsia="en-US"/>
        </w:rPr>
        <w:tab/>
      </w:r>
      <w:r w:rsidR="004E3FF9" w:rsidRPr="003C7C55">
        <w:rPr>
          <w:b/>
          <w:lang w:val="es-ES" w:eastAsia="en-US"/>
        </w:rPr>
        <w:t>Recopile datos estadísticos desglosados sobre la incidencia de la trata a nivel interno y transfronterizo, el número de procesos penales iniciados y las condenas impuestas a los autores de delitos relacionados con la trata, e incluya tales datos en su próximo informe periódico</w:t>
      </w:r>
      <w:r w:rsidR="0039380A" w:rsidRPr="003C7C55">
        <w:rPr>
          <w:b/>
          <w:lang w:val="es-ES" w:eastAsia="en-US"/>
        </w:rPr>
        <w:t>.</w:t>
      </w:r>
      <w:bookmarkEnd w:id="77"/>
    </w:p>
    <w:p w14:paraId="04839981" w14:textId="65E5711E" w:rsidR="004E3FF9" w:rsidRPr="003C7C55" w:rsidRDefault="004E3FF9" w:rsidP="009F6113">
      <w:pPr>
        <w:pStyle w:val="SingleTxt"/>
        <w:numPr>
          <w:ilvl w:val="0"/>
          <w:numId w:val="5"/>
        </w:numPr>
        <w:tabs>
          <w:tab w:val="num" w:pos="1742"/>
        </w:tabs>
        <w:ind w:left="1267" w:firstLine="0"/>
        <w:rPr>
          <w:szCs w:val="22"/>
          <w:lang w:val="es-ES" w:eastAsia="en-US"/>
        </w:rPr>
      </w:pPr>
      <w:bookmarkStart w:id="78" w:name="bookmark_1415"/>
      <w:r w:rsidRPr="003C7C55">
        <w:rPr>
          <w:szCs w:val="22"/>
          <w:lang w:val="es-ES" w:eastAsia="en-US"/>
        </w:rPr>
        <w:t>El Comité observa con preocupación la falta de información sobre las mujeres que ejercen la prostitución en el Estado parte, así como las denuncias de violencia policial, extorsión, detenciones arbitrarias y detenciones sin orden de las mujeres que ejercen la prostitución</w:t>
      </w:r>
      <w:r w:rsidR="0039380A" w:rsidRPr="003C7C55">
        <w:rPr>
          <w:szCs w:val="22"/>
          <w:lang w:val="es-ES" w:eastAsia="en-US"/>
        </w:rPr>
        <w:t>.</w:t>
      </w:r>
      <w:r w:rsidRPr="003C7C55">
        <w:rPr>
          <w:szCs w:val="22"/>
          <w:lang w:val="es-ES" w:eastAsia="en-US"/>
        </w:rPr>
        <w:t xml:space="preserve"> También le inquieta la falta de programas y servicios específicos para las mujeres que ejercen la prostitución, en particular programas de ayuda para las mujeres que desean abandonar la prostitución</w:t>
      </w:r>
      <w:r w:rsidR="0039380A" w:rsidRPr="003C7C55">
        <w:rPr>
          <w:szCs w:val="22"/>
          <w:lang w:val="es-ES" w:eastAsia="en-US"/>
        </w:rPr>
        <w:t>.</w:t>
      </w:r>
      <w:bookmarkEnd w:id="78"/>
    </w:p>
    <w:p w14:paraId="17BE1950" w14:textId="77777777" w:rsidR="0039380A" w:rsidRPr="003C7C55" w:rsidRDefault="004E3FF9" w:rsidP="009F6113">
      <w:pPr>
        <w:pStyle w:val="SingleTxt"/>
        <w:numPr>
          <w:ilvl w:val="0"/>
          <w:numId w:val="5"/>
        </w:numPr>
        <w:tabs>
          <w:tab w:val="num" w:pos="1742"/>
        </w:tabs>
        <w:ind w:left="1267" w:firstLine="0"/>
        <w:rPr>
          <w:b/>
          <w:szCs w:val="22"/>
          <w:lang w:val="es-ES" w:eastAsia="en-US"/>
        </w:rPr>
      </w:pPr>
      <w:bookmarkStart w:id="79" w:name="bookmark_1416"/>
      <w:r w:rsidRPr="003C7C55">
        <w:rPr>
          <w:b/>
          <w:szCs w:val="22"/>
          <w:lang w:val="es-ES" w:eastAsia="en-US"/>
        </w:rPr>
        <w:t>El Comité recomienda al Estado parte que lleve a cabo, sin demora, un estudio sobre las causas fundamentales y el alcance de la prostitución y que utilice los resultados del estudio para desarrollar servicios y programas de apoyo para las mujeres que ejercen la prostitución y medidas para protegerlas frente a la explotación y los abusos de los agentes de policía y los clientes, así como desarrollar programas de ayuda y oportunidades alternativas de generación de ingresos para las mujeres que deseen abandonar la prostitución</w:t>
      </w:r>
      <w:r w:rsidR="0039380A" w:rsidRPr="003C7C55">
        <w:rPr>
          <w:b/>
          <w:szCs w:val="22"/>
          <w:lang w:val="es-ES" w:eastAsia="en-US"/>
        </w:rPr>
        <w:t>.</w:t>
      </w:r>
      <w:bookmarkEnd w:id="79"/>
    </w:p>
    <w:p w14:paraId="13F52498" w14:textId="48CDBC50" w:rsidR="00B64BBF" w:rsidRPr="003C7C55" w:rsidRDefault="00B64BBF" w:rsidP="00B64BBF">
      <w:pPr>
        <w:pStyle w:val="SingleTxt"/>
        <w:spacing w:after="0" w:line="120" w:lineRule="exact"/>
        <w:rPr>
          <w:sz w:val="10"/>
          <w:szCs w:val="10"/>
          <w:lang w:val="es-ES"/>
        </w:rPr>
      </w:pPr>
      <w:bookmarkStart w:id="80" w:name="bookmark_1417"/>
    </w:p>
    <w:p w14:paraId="28AF5D3D" w14:textId="77777777" w:rsidR="0039380A"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Participación en la vida política y pública</w:t>
      </w:r>
      <w:bookmarkEnd w:id="80"/>
    </w:p>
    <w:p w14:paraId="420E07FA" w14:textId="152ADEBB" w:rsidR="00B64BBF" w:rsidRPr="003C7C55" w:rsidRDefault="00B64BBF" w:rsidP="00B64BBF">
      <w:pPr>
        <w:pStyle w:val="SingleTxt"/>
        <w:spacing w:after="0" w:line="120" w:lineRule="exact"/>
        <w:rPr>
          <w:sz w:val="10"/>
          <w:szCs w:val="10"/>
          <w:lang w:val="es-ES"/>
        </w:rPr>
      </w:pPr>
    </w:p>
    <w:p w14:paraId="7F53FC7C" w14:textId="0E5CA03E" w:rsidR="0039380A" w:rsidRPr="003C7C55" w:rsidRDefault="004E3FF9" w:rsidP="009F6113">
      <w:pPr>
        <w:pStyle w:val="SingleTxt"/>
        <w:numPr>
          <w:ilvl w:val="0"/>
          <w:numId w:val="5"/>
        </w:numPr>
        <w:tabs>
          <w:tab w:val="num" w:pos="1742"/>
        </w:tabs>
        <w:ind w:left="1267" w:firstLine="0"/>
        <w:rPr>
          <w:szCs w:val="22"/>
          <w:lang w:val="es-ES" w:eastAsia="en-US"/>
        </w:rPr>
      </w:pPr>
      <w:bookmarkStart w:id="81" w:name="bookmark_1418"/>
      <w:r w:rsidRPr="003C7C55">
        <w:rPr>
          <w:szCs w:val="22"/>
          <w:lang w:val="es-ES" w:eastAsia="en-US"/>
        </w:rPr>
        <w:t>El Comité toma nota de la presentación de un proyecto de ley sobre la paridad democrática ante el Senado, de las iniciativas adoptadas en el marco del plan trienal para la participación social y política de las mujeres y de la capacitación de las mujeres que son miembros de partidos políticos</w:t>
      </w:r>
      <w:r w:rsidR="0039380A" w:rsidRPr="003C7C55">
        <w:rPr>
          <w:szCs w:val="22"/>
          <w:lang w:val="es-ES" w:eastAsia="en-US"/>
        </w:rPr>
        <w:t>.</w:t>
      </w:r>
      <w:r w:rsidRPr="003C7C55">
        <w:rPr>
          <w:szCs w:val="22"/>
          <w:lang w:val="es-ES" w:eastAsia="en-US"/>
        </w:rPr>
        <w:t xml:space="preserve"> No obstante, el Comité expresa su preocupación por la demora en la aprobación del proyecto de ley y por el hecho de</w:t>
      </w:r>
      <w:r w:rsidR="0039380A" w:rsidRPr="003C7C55">
        <w:rPr>
          <w:szCs w:val="22"/>
          <w:lang w:val="es-ES" w:eastAsia="en-US"/>
        </w:rPr>
        <w:t xml:space="preserve"> </w:t>
      </w:r>
      <w:r w:rsidRPr="003C7C55">
        <w:rPr>
          <w:szCs w:val="22"/>
          <w:lang w:val="es-ES" w:eastAsia="en-US"/>
        </w:rPr>
        <w:t>que,</w:t>
      </w:r>
      <w:r w:rsidR="0039380A" w:rsidRPr="003C7C55">
        <w:rPr>
          <w:szCs w:val="22"/>
          <w:lang w:val="es-ES" w:eastAsia="en-US"/>
        </w:rPr>
        <w:t xml:space="preserve"> 20 </w:t>
      </w:r>
      <w:r w:rsidRPr="003C7C55">
        <w:rPr>
          <w:szCs w:val="22"/>
          <w:lang w:val="es-ES" w:eastAsia="en-US"/>
        </w:rPr>
        <w:t>años después de la introducción de cuotas para las elecciones, la representación de la mujer en el Parlamento y en otras esferas, incluidos los cargos ministeriales, siga siendo baja</w:t>
      </w:r>
      <w:r w:rsidR="0039380A" w:rsidRPr="003C7C55">
        <w:rPr>
          <w:szCs w:val="22"/>
          <w:lang w:val="es-ES" w:eastAsia="en-US"/>
        </w:rPr>
        <w:t>.</w:t>
      </w:r>
      <w:bookmarkEnd w:id="81"/>
    </w:p>
    <w:p w14:paraId="47CBFB95"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82" w:name="bookmark_1419"/>
      <w:r w:rsidRPr="003C7C55">
        <w:rPr>
          <w:b/>
          <w:szCs w:val="22"/>
          <w:lang w:val="es-ES" w:eastAsia="en-US"/>
        </w:rPr>
        <w:t>El Comité recomienda al Estado parte que:</w:t>
      </w:r>
      <w:bookmarkEnd w:id="82"/>
    </w:p>
    <w:p w14:paraId="777F6CB3" w14:textId="77777777" w:rsidR="004E3FF9" w:rsidRPr="003C7C55" w:rsidRDefault="00716DFD" w:rsidP="00716DFD">
      <w:pPr>
        <w:pStyle w:val="SingleTxt"/>
        <w:rPr>
          <w:lang w:val="es-ES" w:eastAsia="en-US"/>
        </w:rPr>
      </w:pPr>
      <w:bookmarkStart w:id="83" w:name="bookmark_1420"/>
      <w:r w:rsidRPr="003C7C55">
        <w:rPr>
          <w:lang w:val="es-ES" w:eastAsia="en-US"/>
        </w:rPr>
        <w:tab/>
      </w:r>
      <w:r w:rsidR="004E3FF9" w:rsidRPr="003C7C55">
        <w:rPr>
          <w:lang w:val="es-ES" w:eastAsia="en-US"/>
        </w:rPr>
        <w:t>a)</w:t>
      </w:r>
      <w:r w:rsidR="004E3FF9" w:rsidRPr="003C7C55">
        <w:rPr>
          <w:lang w:val="es-ES" w:eastAsia="en-US"/>
        </w:rPr>
        <w:tab/>
      </w:r>
      <w:r w:rsidR="004E3FF9" w:rsidRPr="003C7C55">
        <w:rPr>
          <w:b/>
          <w:lang w:val="es-ES" w:eastAsia="en-US"/>
        </w:rPr>
        <w:t>Acelere la aprobación del proyecto de ley sobre la paridad democrática y su aplicación en todos los órganos legislativos y cargos designados en el Gobierno y la función pública;</w:t>
      </w:r>
      <w:bookmarkEnd w:id="83"/>
    </w:p>
    <w:p w14:paraId="23722CB2" w14:textId="77777777" w:rsidR="0039380A" w:rsidRPr="003C7C55" w:rsidRDefault="00716DFD" w:rsidP="00716DFD">
      <w:pPr>
        <w:pStyle w:val="SingleTxt"/>
        <w:rPr>
          <w:lang w:val="es-ES" w:eastAsia="en-US"/>
        </w:rPr>
      </w:pPr>
      <w:bookmarkStart w:id="84" w:name="bookmark_1421"/>
      <w:r w:rsidRPr="003C7C55">
        <w:rPr>
          <w:lang w:val="es-ES" w:eastAsia="en-US"/>
        </w:rPr>
        <w:tab/>
      </w:r>
      <w:r w:rsidR="004E3FF9" w:rsidRPr="003C7C55">
        <w:rPr>
          <w:lang w:val="es-ES" w:eastAsia="en-US"/>
        </w:rPr>
        <w:t>b)</w:t>
      </w:r>
      <w:r w:rsidR="004E3FF9" w:rsidRPr="003C7C55">
        <w:rPr>
          <w:lang w:val="es-ES" w:eastAsia="en-US"/>
        </w:rPr>
        <w:tab/>
      </w:r>
      <w:r w:rsidR="004E3FF9" w:rsidRPr="003C7C55">
        <w:rPr>
          <w:b/>
          <w:lang w:val="es-ES" w:eastAsia="en-US"/>
        </w:rPr>
        <w:t>Lleve a cabo actividades de sensibilización de la población en general acerca de la importancia de la participación de las mujeres en la adopción de decisiones, y refuerce los programas específicos de capacitación y orientación sobre aptitudes de liderazgo y negociación para las mujeres candidatas y elegidas y para las mujeres que ocupan cargos públicos</w:t>
      </w:r>
      <w:r w:rsidR="0039380A" w:rsidRPr="003C7C55">
        <w:rPr>
          <w:b/>
          <w:lang w:val="es-ES" w:eastAsia="en-US"/>
        </w:rPr>
        <w:t>.</w:t>
      </w:r>
      <w:bookmarkEnd w:id="84"/>
    </w:p>
    <w:p w14:paraId="5B4280A1" w14:textId="56CA2173" w:rsidR="00B64BBF" w:rsidRPr="003C7C55" w:rsidRDefault="00B64BBF" w:rsidP="00B64BBF">
      <w:pPr>
        <w:pStyle w:val="SingleTxt"/>
        <w:spacing w:after="0" w:line="120" w:lineRule="exact"/>
        <w:rPr>
          <w:sz w:val="10"/>
          <w:szCs w:val="10"/>
          <w:lang w:val="es-ES"/>
        </w:rPr>
      </w:pPr>
      <w:bookmarkStart w:id="85" w:name="bookmark_1422"/>
    </w:p>
    <w:p w14:paraId="38AEBFB4" w14:textId="77777777" w:rsidR="0039380A"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Defensoras de los derechos humanos</w:t>
      </w:r>
      <w:bookmarkEnd w:id="85"/>
    </w:p>
    <w:p w14:paraId="38AA8887" w14:textId="1250969D" w:rsidR="00B64BBF" w:rsidRPr="003C7C55" w:rsidRDefault="00B64BBF" w:rsidP="00B64BBF">
      <w:pPr>
        <w:pStyle w:val="SingleTxt"/>
        <w:spacing w:after="0" w:line="120" w:lineRule="exact"/>
        <w:rPr>
          <w:sz w:val="10"/>
          <w:szCs w:val="10"/>
          <w:lang w:val="es-ES"/>
        </w:rPr>
      </w:pPr>
    </w:p>
    <w:p w14:paraId="014472D9" w14:textId="32BF73E8" w:rsidR="004E3FF9" w:rsidRPr="003C7C55" w:rsidRDefault="004E3FF9" w:rsidP="009F6113">
      <w:pPr>
        <w:pStyle w:val="SingleTxt"/>
        <w:numPr>
          <w:ilvl w:val="0"/>
          <w:numId w:val="5"/>
        </w:numPr>
        <w:tabs>
          <w:tab w:val="num" w:pos="1742"/>
        </w:tabs>
        <w:ind w:left="1267" w:firstLine="0"/>
        <w:rPr>
          <w:szCs w:val="22"/>
          <w:lang w:val="es-ES" w:eastAsia="en-US"/>
        </w:rPr>
      </w:pPr>
      <w:bookmarkStart w:id="86" w:name="bookmark_1423"/>
      <w:r w:rsidRPr="003C7C55">
        <w:rPr>
          <w:szCs w:val="22"/>
          <w:lang w:val="es-ES" w:eastAsia="en-US"/>
        </w:rPr>
        <w:t>El Comité expresa su preocupación por los actos de intimidación y hostigamiento contra las defensoras de los derechos humanos, así como contra los maestros, periodistas, abogados y miembros de organizaciones no gubernamentales que se ocupan de los derechos de la mujer, la igualdad de género, la violencia contra la mujer y la violencia sexual</w:t>
      </w:r>
      <w:r w:rsidR="0039380A" w:rsidRPr="003C7C55">
        <w:rPr>
          <w:szCs w:val="22"/>
          <w:lang w:val="es-ES" w:eastAsia="en-US"/>
        </w:rPr>
        <w:t>.</w:t>
      </w:r>
      <w:r w:rsidRPr="003C7C55">
        <w:rPr>
          <w:szCs w:val="22"/>
          <w:lang w:val="es-ES" w:eastAsia="en-US"/>
        </w:rPr>
        <w:t xml:space="preserve"> Asimismo, le preocupan las denuncias de prácticas abusivas por parte del personal de seguridad y de las fuerzas del orden contra las</w:t>
      </w:r>
      <w:r w:rsidR="0039380A" w:rsidRPr="003C7C55">
        <w:rPr>
          <w:szCs w:val="22"/>
          <w:lang w:val="es-ES" w:eastAsia="en-US"/>
        </w:rPr>
        <w:t xml:space="preserve"> </w:t>
      </w:r>
      <w:r w:rsidRPr="003C7C55">
        <w:rPr>
          <w:szCs w:val="22"/>
          <w:lang w:val="es-ES" w:eastAsia="en-US"/>
        </w:rPr>
        <w:t>mujeres indígenas y rurales, como por ejemplo la detención de mujeres presentes</w:t>
      </w:r>
      <w:r w:rsidR="0039380A" w:rsidRPr="003C7C55">
        <w:rPr>
          <w:szCs w:val="22"/>
          <w:lang w:val="es-ES" w:eastAsia="en-US"/>
        </w:rPr>
        <w:t xml:space="preserve"> </w:t>
      </w:r>
      <w:r w:rsidRPr="003C7C55">
        <w:rPr>
          <w:szCs w:val="22"/>
          <w:lang w:val="es-ES" w:eastAsia="en-US"/>
        </w:rPr>
        <w:t>en la masacre de Curuguaty en</w:t>
      </w:r>
      <w:r w:rsidR="0039380A" w:rsidRPr="003C7C55">
        <w:rPr>
          <w:szCs w:val="22"/>
          <w:lang w:val="es-ES" w:eastAsia="en-US"/>
        </w:rPr>
        <w:t xml:space="preserve"> 2012</w:t>
      </w:r>
      <w:r w:rsidRPr="003C7C55">
        <w:rPr>
          <w:szCs w:val="22"/>
          <w:lang w:val="es-ES" w:eastAsia="en-US"/>
        </w:rPr>
        <w:t>, pese a la falta de pruebas sobre su participación efectiva</w:t>
      </w:r>
      <w:r w:rsidR="0039380A" w:rsidRPr="003C7C55">
        <w:rPr>
          <w:szCs w:val="22"/>
          <w:lang w:val="es-ES" w:eastAsia="en-US"/>
        </w:rPr>
        <w:t>.</w:t>
      </w:r>
      <w:bookmarkEnd w:id="86"/>
    </w:p>
    <w:p w14:paraId="39F68D1B" w14:textId="2BD25E6A" w:rsidR="004E3FF9" w:rsidRPr="003C7C55" w:rsidRDefault="004E3FF9" w:rsidP="009F6113">
      <w:pPr>
        <w:pStyle w:val="SingleTxt"/>
        <w:numPr>
          <w:ilvl w:val="0"/>
          <w:numId w:val="5"/>
        </w:numPr>
        <w:tabs>
          <w:tab w:val="num" w:pos="1742"/>
        </w:tabs>
        <w:ind w:left="1267" w:firstLine="0"/>
        <w:rPr>
          <w:b/>
          <w:szCs w:val="22"/>
          <w:lang w:val="es-ES" w:eastAsia="en-US"/>
        </w:rPr>
      </w:pPr>
      <w:bookmarkStart w:id="87" w:name="bookmark_1424"/>
      <w:r w:rsidRPr="003C7C55">
        <w:rPr>
          <w:b/>
          <w:szCs w:val="22"/>
          <w:lang w:val="es-ES" w:eastAsia="en-US"/>
        </w:rPr>
        <w:t>El Comité recomienda al Estado parte que, de conformidad con los</w:t>
      </w:r>
      <w:r w:rsidR="0039380A" w:rsidRPr="003C7C55">
        <w:rPr>
          <w:b/>
          <w:szCs w:val="22"/>
          <w:lang w:val="es-ES" w:eastAsia="en-US"/>
        </w:rPr>
        <w:t xml:space="preserve"> </w:t>
      </w:r>
      <w:r w:rsidRPr="003C7C55">
        <w:rPr>
          <w:b/>
          <w:szCs w:val="22"/>
          <w:lang w:val="es-ES" w:eastAsia="en-US"/>
        </w:rPr>
        <w:t>compromisos contraídos voluntariamente durante el segundo ciclo del examen</w:t>
      </w:r>
      <w:r w:rsidR="0039380A" w:rsidRPr="003C7C55">
        <w:rPr>
          <w:b/>
          <w:szCs w:val="22"/>
          <w:lang w:val="es-ES" w:eastAsia="en-US"/>
        </w:rPr>
        <w:t xml:space="preserve"> </w:t>
      </w:r>
      <w:r w:rsidRPr="003C7C55">
        <w:rPr>
          <w:b/>
          <w:szCs w:val="22"/>
          <w:lang w:val="es-ES" w:eastAsia="en-US"/>
        </w:rPr>
        <w:t xml:space="preserve">periódico universal (véase </w:t>
      </w:r>
      <w:hyperlink r:id="rId29" w:history="1">
        <w:r w:rsidRPr="003C7C55">
          <w:rPr>
            <w:rStyle w:val="Hipervnculo"/>
            <w:b/>
            <w:szCs w:val="22"/>
            <w:lang w:val="es-ES" w:eastAsia="en-US"/>
          </w:rPr>
          <w:t>A/HRC/</w:t>
        </w:r>
        <w:r w:rsidR="0039380A" w:rsidRPr="003C7C55">
          <w:rPr>
            <w:rStyle w:val="Hipervnculo"/>
            <w:b/>
            <w:szCs w:val="22"/>
            <w:lang w:val="es-ES" w:eastAsia="en-US"/>
          </w:rPr>
          <w:t>32</w:t>
        </w:r>
        <w:r w:rsidRPr="003C7C55">
          <w:rPr>
            <w:rStyle w:val="Hipervnculo"/>
            <w:b/>
            <w:szCs w:val="22"/>
            <w:lang w:val="es-ES" w:eastAsia="en-US"/>
          </w:rPr>
          <w:t>/</w:t>
        </w:r>
        <w:r w:rsidR="0039380A" w:rsidRPr="003C7C55">
          <w:rPr>
            <w:rStyle w:val="Hipervnculo"/>
            <w:b/>
            <w:szCs w:val="22"/>
            <w:lang w:val="es-ES" w:eastAsia="en-US"/>
          </w:rPr>
          <w:t>9</w:t>
        </w:r>
      </w:hyperlink>
      <w:r w:rsidRPr="003C7C55">
        <w:rPr>
          <w:b/>
          <w:szCs w:val="22"/>
          <w:lang w:val="es-ES" w:eastAsia="en-US"/>
        </w:rPr>
        <w:t>, párrs</w:t>
      </w:r>
      <w:r w:rsidR="0039380A" w:rsidRPr="003C7C55">
        <w:rPr>
          <w:b/>
          <w:szCs w:val="22"/>
          <w:lang w:val="es-ES" w:eastAsia="en-US"/>
        </w:rPr>
        <w:t xml:space="preserve">. 102.115 </w:t>
      </w:r>
      <w:r w:rsidRPr="003C7C55">
        <w:rPr>
          <w:b/>
          <w:szCs w:val="22"/>
          <w:lang w:val="es-ES" w:eastAsia="en-US"/>
        </w:rPr>
        <w:t>a</w:t>
      </w:r>
      <w:r w:rsidR="0039380A" w:rsidRPr="003C7C55">
        <w:rPr>
          <w:b/>
          <w:szCs w:val="22"/>
          <w:lang w:val="es-ES" w:eastAsia="en-US"/>
        </w:rPr>
        <w:t xml:space="preserve"> 102.120</w:t>
      </w:r>
      <w:r w:rsidRPr="003C7C55">
        <w:rPr>
          <w:b/>
          <w:szCs w:val="22"/>
          <w:lang w:val="es-ES" w:eastAsia="en-US"/>
        </w:rPr>
        <w:t>), haga lo</w:t>
      </w:r>
      <w:r w:rsidR="0039380A" w:rsidRPr="003C7C55">
        <w:rPr>
          <w:b/>
          <w:szCs w:val="22"/>
          <w:lang w:val="es-ES" w:eastAsia="en-US"/>
        </w:rPr>
        <w:t xml:space="preserve"> </w:t>
      </w:r>
      <w:r w:rsidRPr="003C7C55">
        <w:rPr>
          <w:b/>
          <w:szCs w:val="22"/>
          <w:lang w:val="es-ES" w:eastAsia="en-US"/>
        </w:rPr>
        <w:t>siguiente:</w:t>
      </w:r>
      <w:bookmarkEnd w:id="87"/>
    </w:p>
    <w:p w14:paraId="429006F9" w14:textId="77777777" w:rsidR="004E3FF9" w:rsidRPr="003C7C55" w:rsidRDefault="00927FDC" w:rsidP="00927FDC">
      <w:pPr>
        <w:pStyle w:val="SingleTxt"/>
        <w:rPr>
          <w:lang w:val="es-ES" w:eastAsia="en-US"/>
        </w:rPr>
      </w:pPr>
      <w:bookmarkStart w:id="88" w:name="bookmark_1425"/>
      <w:r w:rsidRPr="003C7C55">
        <w:rPr>
          <w:lang w:val="es-ES" w:eastAsia="en-US"/>
        </w:rPr>
        <w:tab/>
        <w:t>a)</w:t>
      </w:r>
      <w:r w:rsidRPr="003C7C55">
        <w:rPr>
          <w:lang w:val="es-ES" w:eastAsia="en-US"/>
        </w:rPr>
        <w:tab/>
      </w:r>
      <w:r w:rsidR="004E3FF9" w:rsidRPr="003C7C55">
        <w:rPr>
          <w:b/>
          <w:lang w:val="es-ES" w:eastAsia="en-US"/>
        </w:rPr>
        <w:t>Luchar contra la impunidad velando por la investigación oportuna, exhaustiva y transparente de todos los actos de intimidación, hostigamiento y ataques contra las defensoras de los derechos humanos, los maestros, los periodistas, los abogados y las mujeres indígenas y rurales que se convierten en víctimas de violaciones y abusos contra los derechos humanos;</w:t>
      </w:r>
      <w:bookmarkEnd w:id="88"/>
    </w:p>
    <w:p w14:paraId="2A684C4F" w14:textId="77777777" w:rsidR="004E3FF9" w:rsidRPr="003C7C55" w:rsidRDefault="00927FDC" w:rsidP="00927FDC">
      <w:pPr>
        <w:pStyle w:val="SingleTxt"/>
        <w:rPr>
          <w:lang w:val="es-ES" w:eastAsia="en-US"/>
        </w:rPr>
      </w:pPr>
      <w:bookmarkStart w:id="89" w:name="bookmark_1426"/>
      <w:r w:rsidRPr="003C7C55">
        <w:rPr>
          <w:lang w:val="es-ES" w:eastAsia="en-US"/>
        </w:rPr>
        <w:tab/>
        <w:t>b)</w:t>
      </w:r>
      <w:r w:rsidRPr="003C7C55">
        <w:rPr>
          <w:lang w:val="es-ES" w:eastAsia="en-US"/>
        </w:rPr>
        <w:tab/>
      </w:r>
      <w:r w:rsidR="004E3FF9" w:rsidRPr="003C7C55">
        <w:rPr>
          <w:b/>
          <w:lang w:val="es-ES" w:eastAsia="en-US"/>
        </w:rPr>
        <w:t>Enjuiciar a los autores de tales actos, incluidos los funcionarios del Estado, y velar por que las víctimas tengan acceso a una reparación efectiva;</w:t>
      </w:r>
      <w:bookmarkEnd w:id="89"/>
    </w:p>
    <w:p w14:paraId="7E4441F8" w14:textId="47E9CA72" w:rsidR="004E3FF9" w:rsidRPr="003C7C55" w:rsidRDefault="00927FDC" w:rsidP="00927FDC">
      <w:pPr>
        <w:pStyle w:val="SingleTxt"/>
        <w:rPr>
          <w:lang w:val="es-ES" w:eastAsia="en-US"/>
        </w:rPr>
      </w:pPr>
      <w:bookmarkStart w:id="90" w:name="bookmark_1427"/>
      <w:r w:rsidRPr="003C7C55">
        <w:rPr>
          <w:lang w:val="es-ES" w:eastAsia="en-US"/>
        </w:rPr>
        <w:tab/>
        <w:t>c)</w:t>
      </w:r>
      <w:r w:rsidRPr="003C7C55">
        <w:rPr>
          <w:lang w:val="es-ES" w:eastAsia="en-US"/>
        </w:rPr>
        <w:tab/>
      </w:r>
      <w:r w:rsidR="004E3FF9" w:rsidRPr="003C7C55">
        <w:rPr>
          <w:b/>
          <w:lang w:val="es-ES" w:eastAsia="en-US"/>
        </w:rPr>
        <w:t>Agilizar la aprobación del proyecto de ley sobre la libertad de expresión, la protección de los periodistas, los miembros de la prensa y los defensores de los derechos humanos</w:t>
      </w:r>
      <w:r w:rsidR="0039380A" w:rsidRPr="003C7C55">
        <w:rPr>
          <w:b/>
          <w:lang w:val="es-ES" w:eastAsia="en-US"/>
        </w:rPr>
        <w:t>.</w:t>
      </w:r>
      <w:bookmarkEnd w:id="90"/>
    </w:p>
    <w:p w14:paraId="1BA3CE0B" w14:textId="77777777" w:rsidR="00B64BBF" w:rsidRPr="003C7C55" w:rsidRDefault="00B64BBF" w:rsidP="00B64BBF">
      <w:pPr>
        <w:pStyle w:val="SingleTxt"/>
        <w:spacing w:after="0" w:line="120" w:lineRule="exact"/>
        <w:rPr>
          <w:sz w:val="10"/>
          <w:szCs w:val="10"/>
          <w:lang w:val="es-ES"/>
        </w:rPr>
      </w:pPr>
      <w:bookmarkStart w:id="91" w:name="bookmark_1428"/>
    </w:p>
    <w:p w14:paraId="762434B7" w14:textId="77777777"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Registro de los nacimientos</w:t>
      </w:r>
      <w:bookmarkEnd w:id="91"/>
    </w:p>
    <w:p w14:paraId="66073D93" w14:textId="77777777" w:rsidR="00B64BBF" w:rsidRPr="003C7C55" w:rsidRDefault="00B64BBF" w:rsidP="00B64BBF">
      <w:pPr>
        <w:pStyle w:val="SingleTxt"/>
        <w:spacing w:after="0" w:line="120" w:lineRule="exact"/>
        <w:rPr>
          <w:sz w:val="10"/>
          <w:szCs w:val="10"/>
          <w:lang w:val="es-ES"/>
        </w:rPr>
      </w:pPr>
    </w:p>
    <w:p w14:paraId="3ED21C39" w14:textId="285877DA" w:rsidR="004E3FF9" w:rsidRPr="003C7C55" w:rsidRDefault="004E3FF9" w:rsidP="009F6113">
      <w:pPr>
        <w:pStyle w:val="SingleTxt"/>
        <w:numPr>
          <w:ilvl w:val="0"/>
          <w:numId w:val="5"/>
        </w:numPr>
        <w:tabs>
          <w:tab w:val="num" w:pos="1742"/>
        </w:tabs>
        <w:ind w:left="1267" w:firstLine="0"/>
        <w:rPr>
          <w:szCs w:val="22"/>
          <w:lang w:val="es-ES" w:eastAsia="en-US"/>
        </w:rPr>
      </w:pPr>
      <w:bookmarkStart w:id="92" w:name="bookmark_1429"/>
      <w:r w:rsidRPr="003C7C55">
        <w:rPr>
          <w:szCs w:val="22"/>
          <w:lang w:val="es-ES" w:eastAsia="en-US"/>
        </w:rPr>
        <w:t>El Comité reconoce los esfuerzos realizados por el Estado parte para promover el registro de los nacimientos</w:t>
      </w:r>
      <w:r w:rsidR="0039380A" w:rsidRPr="003C7C55">
        <w:rPr>
          <w:szCs w:val="22"/>
          <w:lang w:val="es-ES" w:eastAsia="en-US"/>
        </w:rPr>
        <w:t>.</w:t>
      </w:r>
      <w:r w:rsidRPr="003C7C55">
        <w:rPr>
          <w:szCs w:val="22"/>
          <w:lang w:val="es-ES" w:eastAsia="en-US"/>
        </w:rPr>
        <w:t xml:space="preserve"> Sin embargo, observa que el</w:t>
      </w:r>
      <w:r w:rsidR="0039380A" w:rsidRPr="003C7C55">
        <w:rPr>
          <w:szCs w:val="22"/>
          <w:lang w:val="es-ES" w:eastAsia="en-US"/>
        </w:rPr>
        <w:t xml:space="preserve"> 30</w:t>
      </w:r>
      <w:r w:rsidRPr="003C7C55">
        <w:rPr>
          <w:szCs w:val="22"/>
          <w:lang w:val="es-ES" w:eastAsia="en-US"/>
        </w:rPr>
        <w:t>% de los recién nacidos no están inscritos</w:t>
      </w:r>
      <w:r w:rsidR="0039380A" w:rsidRPr="003C7C55">
        <w:rPr>
          <w:szCs w:val="22"/>
          <w:lang w:val="es-ES" w:eastAsia="en-US"/>
        </w:rPr>
        <w:t>.</w:t>
      </w:r>
      <w:r w:rsidRPr="003C7C55">
        <w:rPr>
          <w:szCs w:val="22"/>
          <w:lang w:val="es-ES" w:eastAsia="en-US"/>
        </w:rPr>
        <w:t xml:space="preserve"> Le inquieta que esto pueda impedir que las niñas no inscritas tengan acceso a los servicios básicos, como la salud y la educación, y que pueda situarlas en riesgo de apatridia y trata</w:t>
      </w:r>
      <w:r w:rsidR="0039380A" w:rsidRPr="003C7C55">
        <w:rPr>
          <w:szCs w:val="22"/>
          <w:lang w:val="es-ES" w:eastAsia="en-US"/>
        </w:rPr>
        <w:t>.</w:t>
      </w:r>
      <w:bookmarkEnd w:id="92"/>
    </w:p>
    <w:p w14:paraId="1D919F29" w14:textId="7C892845" w:rsidR="004E3FF9" w:rsidRPr="003C7C55" w:rsidRDefault="004E3FF9" w:rsidP="009F6113">
      <w:pPr>
        <w:pStyle w:val="SingleTxt"/>
        <w:numPr>
          <w:ilvl w:val="0"/>
          <w:numId w:val="5"/>
        </w:numPr>
        <w:tabs>
          <w:tab w:val="num" w:pos="1742"/>
        </w:tabs>
        <w:ind w:left="1267" w:firstLine="0"/>
        <w:rPr>
          <w:b/>
          <w:szCs w:val="22"/>
          <w:lang w:val="es-ES" w:eastAsia="en-US"/>
        </w:rPr>
      </w:pPr>
      <w:bookmarkStart w:id="93" w:name="bookmark_1430"/>
      <w:r w:rsidRPr="003C7C55">
        <w:rPr>
          <w:b/>
          <w:szCs w:val="22"/>
          <w:lang w:val="es-ES" w:eastAsia="en-US"/>
        </w:rPr>
        <w:t>El Comité recomienda al Estado parte que acelere los esfuerzos para lograr el registro universal de los nacimientos, en particular mediante el uso de la tecnología moderna para simplificar los procedimientos</w:t>
      </w:r>
      <w:r w:rsidR="0039380A" w:rsidRPr="003C7C55">
        <w:rPr>
          <w:b/>
          <w:szCs w:val="22"/>
          <w:lang w:val="es-ES" w:eastAsia="en-US"/>
        </w:rPr>
        <w:t>.</w:t>
      </w:r>
      <w:bookmarkEnd w:id="93"/>
    </w:p>
    <w:p w14:paraId="7693A34F" w14:textId="77777777" w:rsidR="00B64BBF" w:rsidRPr="003C7C55" w:rsidRDefault="00B64BBF" w:rsidP="00B64BBF">
      <w:pPr>
        <w:pStyle w:val="SingleTxt"/>
        <w:spacing w:after="0" w:line="120" w:lineRule="exact"/>
        <w:rPr>
          <w:sz w:val="10"/>
          <w:szCs w:val="10"/>
          <w:lang w:val="es-ES"/>
        </w:rPr>
      </w:pPr>
      <w:bookmarkStart w:id="94" w:name="bookmark_1431"/>
    </w:p>
    <w:p w14:paraId="597785DF" w14:textId="77777777"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Educación</w:t>
      </w:r>
      <w:bookmarkEnd w:id="94"/>
    </w:p>
    <w:p w14:paraId="5957B1F3" w14:textId="77777777" w:rsidR="00B64BBF" w:rsidRPr="003C7C55" w:rsidRDefault="00B64BBF" w:rsidP="00B64BBF">
      <w:pPr>
        <w:pStyle w:val="SingleTxt"/>
        <w:spacing w:after="0" w:line="120" w:lineRule="exact"/>
        <w:rPr>
          <w:sz w:val="10"/>
          <w:szCs w:val="10"/>
          <w:lang w:val="es-ES"/>
        </w:rPr>
      </w:pPr>
    </w:p>
    <w:p w14:paraId="14528D5F" w14:textId="4AA5F7F8" w:rsidR="004E3FF9" w:rsidRPr="003C7C55" w:rsidRDefault="004E3FF9" w:rsidP="009F6113">
      <w:pPr>
        <w:pStyle w:val="SingleTxt"/>
        <w:numPr>
          <w:ilvl w:val="0"/>
          <w:numId w:val="5"/>
        </w:numPr>
        <w:tabs>
          <w:tab w:val="num" w:pos="1742"/>
        </w:tabs>
        <w:ind w:left="1267" w:firstLine="0"/>
        <w:rPr>
          <w:szCs w:val="22"/>
          <w:lang w:val="es-ES" w:eastAsia="en-US"/>
        </w:rPr>
      </w:pPr>
      <w:bookmarkStart w:id="95" w:name="bookmark_1432"/>
      <w:r w:rsidRPr="003C7C55">
        <w:rPr>
          <w:szCs w:val="22"/>
          <w:lang w:val="es-ES" w:eastAsia="en-US"/>
        </w:rPr>
        <w:t>El Comité acoge con satisfacción la introducción de programas no académicos de alfabetización para las comunidades indígenas y de programas no académicos</w:t>
      </w:r>
      <w:r w:rsidR="0039380A" w:rsidRPr="003C7C55">
        <w:rPr>
          <w:szCs w:val="22"/>
          <w:lang w:val="es-ES" w:eastAsia="en-US"/>
        </w:rPr>
        <w:t xml:space="preserve"> </w:t>
      </w:r>
      <w:r w:rsidRPr="003C7C55">
        <w:rPr>
          <w:szCs w:val="22"/>
          <w:lang w:val="es-ES" w:eastAsia="en-US"/>
        </w:rPr>
        <w:t>de formación profesional que permiten a los jóvenes y a los adultos adquirir conocimientos prácticos para determinadas ocupaciones</w:t>
      </w:r>
      <w:r w:rsidR="0039380A" w:rsidRPr="003C7C55">
        <w:rPr>
          <w:szCs w:val="22"/>
          <w:lang w:val="es-ES" w:eastAsia="en-US"/>
        </w:rPr>
        <w:t>.</w:t>
      </w:r>
      <w:r w:rsidRPr="003C7C55">
        <w:rPr>
          <w:szCs w:val="22"/>
          <w:lang w:val="es-ES" w:eastAsia="en-US"/>
        </w:rPr>
        <w:t xml:space="preserve"> No obstante, expresa inquietud por:</w:t>
      </w:r>
      <w:bookmarkEnd w:id="95"/>
    </w:p>
    <w:p w14:paraId="3E064409" w14:textId="77777777" w:rsidR="004E3FF9" w:rsidRPr="003C7C55" w:rsidRDefault="00182D34" w:rsidP="00182D34">
      <w:pPr>
        <w:pStyle w:val="SingleTxt"/>
        <w:rPr>
          <w:lang w:val="es-ES" w:eastAsia="en-US"/>
        </w:rPr>
      </w:pPr>
      <w:bookmarkStart w:id="96" w:name="bookmark_1433"/>
      <w:r w:rsidRPr="003C7C55">
        <w:rPr>
          <w:lang w:val="es-ES" w:eastAsia="en-US"/>
        </w:rPr>
        <w:tab/>
        <w:t>a)</w:t>
      </w:r>
      <w:r w:rsidRPr="003C7C55">
        <w:rPr>
          <w:lang w:val="es-ES" w:eastAsia="en-US"/>
        </w:rPr>
        <w:tab/>
      </w:r>
      <w:r w:rsidR="004E3FF9" w:rsidRPr="003C7C55">
        <w:rPr>
          <w:lang w:val="es-ES" w:eastAsia="en-US"/>
        </w:rPr>
        <w:t>La persistencia de los obstáculos estructurales que impiden que las niñas accedan a una educación de calidad, en particular en la enseñanza secundaria y terciaria, debido, entre otras cosas, a las insuficientes asignaciones presupuestarias destinadas a este sector, que dan lugar a una carencia de infraestructuras escolares, material educativo y maestros calificados, especialmente en las zonas rurales;</w:t>
      </w:r>
      <w:bookmarkEnd w:id="96"/>
    </w:p>
    <w:p w14:paraId="116CF4E6" w14:textId="77777777" w:rsidR="004E3FF9" w:rsidRPr="003C7C55" w:rsidRDefault="00182D34" w:rsidP="00182D34">
      <w:pPr>
        <w:pStyle w:val="SingleTxt"/>
        <w:rPr>
          <w:lang w:val="es-ES" w:eastAsia="en-US"/>
        </w:rPr>
      </w:pPr>
      <w:bookmarkStart w:id="97" w:name="bookmark_1434"/>
      <w:r w:rsidRPr="003C7C55">
        <w:rPr>
          <w:lang w:val="es-ES" w:eastAsia="en-US"/>
        </w:rPr>
        <w:tab/>
        <w:t>b)</w:t>
      </w:r>
      <w:r w:rsidRPr="003C7C55">
        <w:rPr>
          <w:lang w:val="es-ES" w:eastAsia="en-US"/>
        </w:rPr>
        <w:tab/>
      </w:r>
      <w:r w:rsidR="004E3FF9" w:rsidRPr="003C7C55">
        <w:rPr>
          <w:lang w:val="es-ES" w:eastAsia="en-US"/>
        </w:rPr>
        <w:t>La persistencia de las desigualdades en las tasas de alfabetización de mujeres y hombres y el considerable nivel de analfabetismo entre las mujeres indígenas y las mujeres de las zonas rurales;</w:t>
      </w:r>
      <w:bookmarkEnd w:id="97"/>
    </w:p>
    <w:p w14:paraId="1BFBD70D" w14:textId="570176C7" w:rsidR="004E3FF9" w:rsidRPr="003C7C55" w:rsidRDefault="00182D34" w:rsidP="00182D34">
      <w:pPr>
        <w:pStyle w:val="SingleTxt"/>
        <w:rPr>
          <w:lang w:val="es-ES" w:eastAsia="en-US"/>
        </w:rPr>
      </w:pPr>
      <w:bookmarkStart w:id="98" w:name="bookmark_1435"/>
      <w:r w:rsidRPr="003C7C55">
        <w:rPr>
          <w:lang w:val="es-ES" w:eastAsia="en-US"/>
        </w:rPr>
        <w:tab/>
        <w:t>c)</w:t>
      </w:r>
      <w:r w:rsidRPr="003C7C55">
        <w:rPr>
          <w:lang w:val="es-ES" w:eastAsia="en-US"/>
        </w:rPr>
        <w:tab/>
      </w:r>
      <w:r w:rsidR="004E3FF9" w:rsidRPr="003C7C55">
        <w:rPr>
          <w:lang w:val="es-ES" w:eastAsia="en-US"/>
        </w:rPr>
        <w:t>La falta de información proporcionada por el Estado parte sobre las medidas adoptadas para alentar a las niñas a participar en ámbitos de estudio y trayectorias profesionales no tradicionales, como las matemáticas, la informática, la tecnología y la ciencia</w:t>
      </w:r>
      <w:r w:rsidR="0039380A" w:rsidRPr="003C7C55">
        <w:rPr>
          <w:lang w:val="es-ES" w:eastAsia="en-US"/>
        </w:rPr>
        <w:t>.</w:t>
      </w:r>
      <w:bookmarkEnd w:id="98"/>
    </w:p>
    <w:p w14:paraId="2775C9BE"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99" w:name="bookmark_1436"/>
      <w:r w:rsidRPr="003C7C55">
        <w:rPr>
          <w:b/>
          <w:szCs w:val="22"/>
          <w:lang w:val="es-ES" w:eastAsia="en-US"/>
        </w:rPr>
        <w:t>El Comité recomienda al Estado parte que:</w:t>
      </w:r>
      <w:bookmarkEnd w:id="99"/>
    </w:p>
    <w:p w14:paraId="6CC94474" w14:textId="77777777" w:rsidR="004E3FF9" w:rsidRPr="003C7C55" w:rsidRDefault="00A120E6" w:rsidP="00A120E6">
      <w:pPr>
        <w:pStyle w:val="SingleTxt"/>
        <w:rPr>
          <w:lang w:val="es-ES" w:eastAsia="en-US"/>
        </w:rPr>
      </w:pPr>
      <w:bookmarkStart w:id="100" w:name="bookmark_1437"/>
      <w:r w:rsidRPr="003C7C55">
        <w:rPr>
          <w:lang w:val="es-ES" w:eastAsia="en-US"/>
        </w:rPr>
        <w:tab/>
        <w:t>a)</w:t>
      </w:r>
      <w:r w:rsidRPr="003C7C55">
        <w:rPr>
          <w:lang w:val="es-ES" w:eastAsia="en-US"/>
        </w:rPr>
        <w:tab/>
      </w:r>
      <w:r w:rsidR="004E3FF9" w:rsidRPr="003C7C55">
        <w:rPr>
          <w:b/>
          <w:lang w:val="es-ES" w:eastAsia="en-US"/>
        </w:rPr>
        <w:t>Incremente las asignaciones presupuestarias a la educación para posibilitar la revisión de las infraestructuras escolares, especialmente en las zonas rurales, y para mejorar la calidad de la educación, en particular velando por que el aumento de las matriculaciones vaya acompañado de la prestación de instalaciones de enseñanza y aprendizaje esenciales y accesibles;</w:t>
      </w:r>
      <w:bookmarkEnd w:id="100"/>
    </w:p>
    <w:p w14:paraId="6860D83B" w14:textId="77777777" w:rsidR="0039380A" w:rsidRPr="003C7C55" w:rsidRDefault="00A120E6" w:rsidP="00A120E6">
      <w:pPr>
        <w:pStyle w:val="SingleTxt"/>
        <w:rPr>
          <w:b/>
          <w:lang w:val="es-ES" w:eastAsia="en-US"/>
        </w:rPr>
      </w:pPr>
      <w:bookmarkStart w:id="101" w:name="bookmark_1438"/>
      <w:r w:rsidRPr="003C7C55">
        <w:rPr>
          <w:lang w:val="es-ES" w:eastAsia="en-US"/>
        </w:rPr>
        <w:tab/>
        <w:t>b)</w:t>
      </w:r>
      <w:r w:rsidRPr="003C7C55">
        <w:rPr>
          <w:lang w:val="es-ES" w:eastAsia="en-US"/>
        </w:rPr>
        <w:tab/>
      </w:r>
      <w:r w:rsidR="004E3FF9" w:rsidRPr="003C7C55">
        <w:rPr>
          <w:b/>
          <w:lang w:val="es-ES" w:eastAsia="en-US"/>
        </w:rPr>
        <w:t>Establecer programas concebidos específicamente para erradicar el analfabetismo entre las mujeres de las zonas rurales y las mujeres indígenas, así como entre las mujeres de los entornos urbanos, y adoptar y aplicar medidas específicas para acelerar la participación en condiciones de igualdad de las niñas y las mujeres indígenas en todos los niveles de la enseñanza;</w:t>
      </w:r>
      <w:bookmarkEnd w:id="101"/>
    </w:p>
    <w:p w14:paraId="336E90CA" w14:textId="22FD3ED9" w:rsidR="004E3FF9" w:rsidRPr="003C7C55" w:rsidRDefault="00A120E6" w:rsidP="00A120E6">
      <w:pPr>
        <w:pStyle w:val="SingleTxt"/>
        <w:rPr>
          <w:lang w:val="es-ES" w:eastAsia="en-US"/>
        </w:rPr>
      </w:pPr>
      <w:bookmarkStart w:id="102" w:name="bookmark_1439"/>
      <w:r w:rsidRPr="003C7C55">
        <w:rPr>
          <w:lang w:val="es-ES" w:eastAsia="en-US"/>
        </w:rPr>
        <w:tab/>
        <w:t>c)</w:t>
      </w:r>
      <w:r w:rsidRPr="003C7C55">
        <w:rPr>
          <w:lang w:val="es-ES" w:eastAsia="en-US"/>
        </w:rPr>
        <w:tab/>
      </w:r>
      <w:r w:rsidR="004E3FF9" w:rsidRPr="003C7C55">
        <w:rPr>
          <w:b/>
          <w:lang w:val="es-ES" w:eastAsia="en-US"/>
        </w:rPr>
        <w:t>Formular y poner en marcha una campaña a nivel nacional para eliminar los estereotipos tradicionales y los obstáculos estructurales que puedan disuadir a las niñas de matricularse en ámbitos de estudio y trayectorias profesionales no tradicionales, como las matemáticas, la informática, la tecnología y la ciencia, entre otras cosas, mediante la concesión de becas específicas para las niñas</w:t>
      </w:r>
      <w:r w:rsidR="0039380A" w:rsidRPr="003C7C55">
        <w:rPr>
          <w:b/>
          <w:lang w:val="es-ES" w:eastAsia="en-US"/>
        </w:rPr>
        <w:t>.</w:t>
      </w:r>
      <w:bookmarkEnd w:id="102"/>
    </w:p>
    <w:p w14:paraId="33B55646" w14:textId="77777777" w:rsidR="00B64BBF" w:rsidRPr="003C7C55" w:rsidRDefault="00B64BBF" w:rsidP="00B64BBF">
      <w:pPr>
        <w:pStyle w:val="SingleTxt"/>
        <w:spacing w:after="0" w:line="120" w:lineRule="exact"/>
        <w:rPr>
          <w:sz w:val="10"/>
          <w:szCs w:val="10"/>
          <w:lang w:val="es-ES"/>
        </w:rPr>
      </w:pPr>
      <w:bookmarkStart w:id="103" w:name="bookmark_1440"/>
    </w:p>
    <w:p w14:paraId="4EBB88D4"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Empleo</w:t>
      </w:r>
      <w:bookmarkEnd w:id="103"/>
    </w:p>
    <w:p w14:paraId="0B7D1F36" w14:textId="77777777" w:rsidR="00B64BBF" w:rsidRPr="003C7C55" w:rsidRDefault="00B64BBF" w:rsidP="00B64BBF">
      <w:pPr>
        <w:pStyle w:val="SingleTxt"/>
        <w:spacing w:after="0" w:line="120" w:lineRule="exact"/>
        <w:rPr>
          <w:sz w:val="10"/>
          <w:szCs w:val="10"/>
          <w:lang w:val="es-ES"/>
        </w:rPr>
      </w:pPr>
    </w:p>
    <w:p w14:paraId="5A230733" w14:textId="169F821E" w:rsidR="004E3FF9" w:rsidRPr="003C7C55" w:rsidRDefault="004E3FF9" w:rsidP="009F6113">
      <w:pPr>
        <w:pStyle w:val="SingleTxt"/>
        <w:numPr>
          <w:ilvl w:val="0"/>
          <w:numId w:val="5"/>
        </w:numPr>
        <w:tabs>
          <w:tab w:val="num" w:pos="1742"/>
        </w:tabs>
        <w:ind w:left="1267" w:firstLine="0"/>
        <w:rPr>
          <w:szCs w:val="22"/>
          <w:lang w:val="es-ES" w:eastAsia="en-US"/>
        </w:rPr>
      </w:pPr>
      <w:bookmarkStart w:id="104" w:name="bookmark_1441"/>
      <w:r w:rsidRPr="003C7C55">
        <w:rPr>
          <w:szCs w:val="22"/>
          <w:lang w:val="es-ES" w:eastAsia="en-US"/>
        </w:rPr>
        <w:t>El Comité acoge con satisfacción la primera encuesta del Estado parte sobre el empleo del tiempo y los esfuerzos realizados para aprobar un proyecto de ley que tipifique como delito la práctica del trabajo infantil doméstico no remunerado y que</w:t>
      </w:r>
      <w:r w:rsidR="0039380A" w:rsidRPr="003C7C55">
        <w:rPr>
          <w:szCs w:val="22"/>
          <w:lang w:val="es-ES" w:eastAsia="en-US"/>
        </w:rPr>
        <w:t xml:space="preserve"> </w:t>
      </w:r>
      <w:r w:rsidRPr="003C7C55">
        <w:rPr>
          <w:szCs w:val="22"/>
          <w:lang w:val="es-ES" w:eastAsia="en-US"/>
        </w:rPr>
        <w:t>establezca sanciones para las peores formas de trabajo infantil, así como las medidas</w:t>
      </w:r>
      <w:r w:rsidR="0039380A" w:rsidRPr="003C7C55">
        <w:rPr>
          <w:szCs w:val="22"/>
          <w:lang w:val="es-ES" w:eastAsia="en-US"/>
        </w:rPr>
        <w:t xml:space="preserve"> </w:t>
      </w:r>
      <w:r w:rsidRPr="003C7C55">
        <w:rPr>
          <w:szCs w:val="22"/>
          <w:lang w:val="es-ES" w:eastAsia="en-US"/>
        </w:rPr>
        <w:t>jurídicas adoptadas para permitir el acceso de los trabajadores por cuenta propia a la protección social y los fondos de pensiones</w:t>
      </w:r>
      <w:r w:rsidR="0039380A" w:rsidRPr="003C7C55">
        <w:rPr>
          <w:szCs w:val="22"/>
          <w:lang w:val="es-ES" w:eastAsia="en-US"/>
        </w:rPr>
        <w:t>.</w:t>
      </w:r>
      <w:r w:rsidRPr="003C7C55">
        <w:rPr>
          <w:szCs w:val="22"/>
          <w:lang w:val="es-ES" w:eastAsia="en-US"/>
        </w:rPr>
        <w:t xml:space="preserve"> No obstante, el Comité está preocupado por:</w:t>
      </w:r>
      <w:bookmarkEnd w:id="104"/>
    </w:p>
    <w:p w14:paraId="0CD80C4B" w14:textId="4F47EC12" w:rsidR="004E3FF9" w:rsidRPr="003C7C55" w:rsidRDefault="00DC1938" w:rsidP="00DC1938">
      <w:pPr>
        <w:pStyle w:val="SingleTxt"/>
        <w:rPr>
          <w:lang w:val="es-ES" w:eastAsia="en-US"/>
        </w:rPr>
      </w:pPr>
      <w:bookmarkStart w:id="105" w:name="bookmark_1442"/>
      <w:r w:rsidRPr="003C7C55">
        <w:rPr>
          <w:lang w:val="es-ES" w:eastAsia="en-US"/>
        </w:rPr>
        <w:tab/>
        <w:t>a)</w:t>
      </w:r>
      <w:r w:rsidRPr="003C7C55">
        <w:rPr>
          <w:lang w:val="es-ES" w:eastAsia="en-US"/>
        </w:rPr>
        <w:tab/>
      </w:r>
      <w:r w:rsidR="004E3FF9" w:rsidRPr="003C7C55">
        <w:rPr>
          <w:lang w:val="es-ES" w:eastAsia="en-US"/>
        </w:rPr>
        <w:t>La marcada diferencia salarial por razón de género, del</w:t>
      </w:r>
      <w:r w:rsidR="0039380A" w:rsidRPr="003C7C55">
        <w:rPr>
          <w:lang w:val="es-ES" w:eastAsia="en-US"/>
        </w:rPr>
        <w:t xml:space="preserve"> 22</w:t>
      </w:r>
      <w:r w:rsidR="004E3FF9" w:rsidRPr="003C7C55">
        <w:rPr>
          <w:lang w:val="es-ES" w:eastAsia="en-US"/>
        </w:rPr>
        <w:t>%, y el hecho de que el salario mínimo legal para los trabajadores domésticos sea un</w:t>
      </w:r>
      <w:r w:rsidR="0039380A" w:rsidRPr="003C7C55">
        <w:rPr>
          <w:lang w:val="es-ES" w:eastAsia="en-US"/>
        </w:rPr>
        <w:t xml:space="preserve"> 40</w:t>
      </w:r>
      <w:r w:rsidR="004E3FF9" w:rsidRPr="003C7C55">
        <w:rPr>
          <w:lang w:val="es-ES" w:eastAsia="en-US"/>
        </w:rPr>
        <w:t>% inferior al salario mínimo del resto de los trabajadores, lo que afecta de manera desproporcionada a las mujeres, que representan la mayoría de los trabajadores domésticos;</w:t>
      </w:r>
      <w:bookmarkEnd w:id="105"/>
    </w:p>
    <w:p w14:paraId="575C47C7" w14:textId="77777777" w:rsidR="004E3FF9" w:rsidRPr="003C7C55" w:rsidRDefault="00DC1938" w:rsidP="00DC1938">
      <w:pPr>
        <w:pStyle w:val="SingleTxt"/>
        <w:rPr>
          <w:lang w:val="es-ES" w:eastAsia="en-US"/>
        </w:rPr>
      </w:pPr>
      <w:bookmarkStart w:id="106" w:name="bookmark_1443"/>
      <w:r w:rsidRPr="003C7C55">
        <w:rPr>
          <w:lang w:val="es-ES" w:eastAsia="en-US"/>
        </w:rPr>
        <w:tab/>
        <w:t>b)</w:t>
      </w:r>
      <w:r w:rsidRPr="003C7C55">
        <w:rPr>
          <w:lang w:val="es-ES" w:eastAsia="en-US"/>
        </w:rPr>
        <w:tab/>
      </w:r>
      <w:r w:rsidR="004E3FF9" w:rsidRPr="003C7C55">
        <w:rPr>
          <w:lang w:val="es-ES" w:eastAsia="en-US"/>
        </w:rPr>
        <w:t>El incumplimiento de la legislación que promueve y protege la maternidad, especialmente en lo que respecta a la protección de la maternidad y la distribución desigual del trabajo doméstico y asistencial entre las mujeres y los hombres, lo que obliga a muchas mujeres a aceptar empleos de bajos ingresos en el sector no estructurado;</w:t>
      </w:r>
      <w:bookmarkEnd w:id="106"/>
    </w:p>
    <w:p w14:paraId="0A3A6F6B" w14:textId="77777777" w:rsidR="004E3FF9" w:rsidRPr="003C7C55" w:rsidRDefault="00DC1938" w:rsidP="00DC1938">
      <w:pPr>
        <w:pStyle w:val="SingleTxt"/>
        <w:rPr>
          <w:lang w:val="es-ES" w:eastAsia="en-US"/>
        </w:rPr>
      </w:pPr>
      <w:bookmarkStart w:id="107" w:name="bookmark_1444"/>
      <w:r w:rsidRPr="003C7C55">
        <w:rPr>
          <w:lang w:val="es-ES" w:eastAsia="en-US"/>
        </w:rPr>
        <w:tab/>
        <w:t>c)</w:t>
      </w:r>
      <w:r w:rsidRPr="003C7C55">
        <w:rPr>
          <w:lang w:val="es-ES" w:eastAsia="en-US"/>
        </w:rPr>
        <w:tab/>
      </w:r>
      <w:r w:rsidR="004E3FF9" w:rsidRPr="003C7C55">
        <w:rPr>
          <w:lang w:val="es-ES" w:eastAsia="en-US"/>
        </w:rPr>
        <w:t>La persistencia del trabajo infantil doméstico y la exposición de las niñas, a través de esta práctica, a condiciones de empleo que dificultan su pleno desarrollo, equivalen a la explotación laboral y las sitúan en riesgo de sufrir abusos físicos, psicológicos y sexuales;</w:t>
      </w:r>
      <w:bookmarkEnd w:id="107"/>
    </w:p>
    <w:p w14:paraId="7ED11257" w14:textId="77777777" w:rsidR="004E3FF9" w:rsidRPr="003C7C55" w:rsidRDefault="00DC1938" w:rsidP="00DC1938">
      <w:pPr>
        <w:pStyle w:val="SingleTxt"/>
        <w:rPr>
          <w:lang w:val="es-ES" w:eastAsia="en-US"/>
        </w:rPr>
      </w:pPr>
      <w:bookmarkStart w:id="108" w:name="bookmark_1445"/>
      <w:r w:rsidRPr="003C7C55">
        <w:rPr>
          <w:lang w:val="es-ES" w:eastAsia="en-US"/>
        </w:rPr>
        <w:tab/>
        <w:t>d)</w:t>
      </w:r>
      <w:r w:rsidRPr="003C7C55">
        <w:rPr>
          <w:lang w:val="es-ES" w:eastAsia="en-US"/>
        </w:rPr>
        <w:tab/>
      </w:r>
      <w:r w:rsidR="004E3FF9" w:rsidRPr="003C7C55">
        <w:rPr>
          <w:lang w:val="es-ES" w:eastAsia="en-US"/>
        </w:rPr>
        <w:t>Las pruebas de embarazo y VIH en los procedimientos de contratación y el hecho de que las mujeres estén sometidas a condiciones de trabajo inadecuadas, principalmente en la industria maquiladora;</w:t>
      </w:r>
      <w:bookmarkEnd w:id="108"/>
    </w:p>
    <w:p w14:paraId="35B995D5" w14:textId="5FEE19D5" w:rsidR="004E3FF9" w:rsidRPr="003C7C55" w:rsidRDefault="00DC1938" w:rsidP="00DC1938">
      <w:pPr>
        <w:pStyle w:val="SingleTxt"/>
        <w:rPr>
          <w:lang w:val="es-ES" w:eastAsia="en-US"/>
        </w:rPr>
      </w:pPr>
      <w:bookmarkStart w:id="109" w:name="bookmark_1446"/>
      <w:r w:rsidRPr="003C7C55">
        <w:rPr>
          <w:lang w:val="es-ES" w:eastAsia="en-US"/>
        </w:rPr>
        <w:tab/>
        <w:t>e)</w:t>
      </w:r>
      <w:r w:rsidRPr="003C7C55">
        <w:rPr>
          <w:lang w:val="es-ES" w:eastAsia="en-US"/>
        </w:rPr>
        <w:tab/>
      </w:r>
      <w:r w:rsidR="004E3FF9" w:rsidRPr="003C7C55">
        <w:rPr>
          <w:lang w:val="es-ES" w:eastAsia="en-US"/>
        </w:rPr>
        <w:t xml:space="preserve">La </w:t>
      </w:r>
      <w:r w:rsidR="00A75CA6" w:rsidRPr="003C7C55">
        <w:rPr>
          <w:lang w:val="es-ES" w:eastAsia="en-US"/>
        </w:rPr>
        <w:t xml:space="preserve">naturaleza neutra respecto de las cuestiones de género de la </w:t>
      </w:r>
      <w:r w:rsidR="004E3FF9" w:rsidRPr="003C7C55">
        <w:rPr>
          <w:lang w:val="es-ES" w:eastAsia="en-US"/>
        </w:rPr>
        <w:t>legislación que introduce una cuota del</w:t>
      </w:r>
      <w:r w:rsidR="0039380A" w:rsidRPr="003C7C55">
        <w:rPr>
          <w:lang w:val="es-ES" w:eastAsia="en-US"/>
        </w:rPr>
        <w:t xml:space="preserve"> 5</w:t>
      </w:r>
      <w:r w:rsidR="004E3FF9" w:rsidRPr="003C7C55">
        <w:rPr>
          <w:lang w:val="es-ES" w:eastAsia="en-US"/>
        </w:rPr>
        <w:t xml:space="preserve">% </w:t>
      </w:r>
      <w:r w:rsidR="00A75CA6" w:rsidRPr="003C7C55">
        <w:rPr>
          <w:lang w:val="es-ES" w:eastAsia="en-US"/>
        </w:rPr>
        <w:t xml:space="preserve">para las personas con discapacidad </w:t>
      </w:r>
      <w:r w:rsidR="004E3FF9" w:rsidRPr="003C7C55">
        <w:rPr>
          <w:lang w:val="es-ES" w:eastAsia="en-US"/>
        </w:rPr>
        <w:t>en el sector público, que</w:t>
      </w:r>
      <w:r w:rsidR="0039380A" w:rsidRPr="003C7C55">
        <w:rPr>
          <w:lang w:val="es-ES" w:eastAsia="en-US"/>
        </w:rPr>
        <w:t xml:space="preserve"> </w:t>
      </w:r>
      <w:r w:rsidR="004E3FF9" w:rsidRPr="003C7C55">
        <w:rPr>
          <w:lang w:val="es-ES" w:eastAsia="en-US"/>
        </w:rPr>
        <w:t>ha dado lugar a la interpretación errónea de que la cuota es restrictiva</w:t>
      </w:r>
      <w:r w:rsidR="00A75CA6" w:rsidRPr="003C7C55">
        <w:rPr>
          <w:lang w:val="es-ES" w:eastAsia="en-US"/>
        </w:rPr>
        <w:t xml:space="preserve"> y</w:t>
      </w:r>
      <w:r w:rsidR="004E3FF9" w:rsidRPr="003C7C55">
        <w:rPr>
          <w:lang w:val="es-ES" w:eastAsia="en-US"/>
        </w:rPr>
        <w:t xml:space="preserve"> representa </w:t>
      </w:r>
      <w:r w:rsidR="00A75CA6" w:rsidRPr="003C7C55">
        <w:rPr>
          <w:lang w:val="es-ES" w:eastAsia="en-US"/>
        </w:rPr>
        <w:t xml:space="preserve">el </w:t>
      </w:r>
      <w:r w:rsidR="004E3FF9" w:rsidRPr="003C7C55">
        <w:rPr>
          <w:lang w:val="es-ES" w:eastAsia="en-US"/>
        </w:rPr>
        <w:t xml:space="preserve">número máximo de puestos para personas con discapacidad, y el hecho de que se suela elegir a hombres con discapacidad con más frecuencia que a mujeres con discapacidad para ocupar tales </w:t>
      </w:r>
      <w:r w:rsidR="00A75CA6" w:rsidRPr="003C7C55">
        <w:rPr>
          <w:lang w:val="es-ES" w:eastAsia="en-US"/>
        </w:rPr>
        <w:t>puestos</w:t>
      </w:r>
      <w:r w:rsidR="0039380A" w:rsidRPr="003C7C55">
        <w:rPr>
          <w:lang w:val="es-ES" w:eastAsia="en-US"/>
        </w:rPr>
        <w:t>.</w:t>
      </w:r>
      <w:bookmarkEnd w:id="109"/>
    </w:p>
    <w:p w14:paraId="2BB5DA88" w14:textId="7510E45E" w:rsidR="004E3FF9" w:rsidRPr="003C7C55" w:rsidRDefault="004E3FF9" w:rsidP="009F6113">
      <w:pPr>
        <w:pStyle w:val="SingleTxt"/>
        <w:numPr>
          <w:ilvl w:val="0"/>
          <w:numId w:val="5"/>
        </w:numPr>
        <w:tabs>
          <w:tab w:val="num" w:pos="1742"/>
        </w:tabs>
        <w:ind w:left="1267" w:firstLine="0"/>
        <w:rPr>
          <w:b/>
          <w:szCs w:val="22"/>
          <w:lang w:val="es-ES" w:eastAsia="en-US"/>
        </w:rPr>
      </w:pPr>
      <w:bookmarkStart w:id="110" w:name="bookmark_1447"/>
      <w:r w:rsidRPr="003C7C55">
        <w:rPr>
          <w:b/>
          <w:szCs w:val="22"/>
          <w:lang w:val="es-ES" w:eastAsia="en-US"/>
        </w:rPr>
        <w:t>El Comité, recordando sus anteriores observaciones finales (</w:t>
      </w:r>
      <w:hyperlink r:id="rId30" w:history="1">
        <w:r w:rsidRPr="003C7C55">
          <w:rPr>
            <w:rStyle w:val="Hipervnculo"/>
            <w:b/>
            <w:szCs w:val="22"/>
            <w:lang w:val="es-ES" w:eastAsia="en-US"/>
          </w:rPr>
          <w:t>CEDAW/C/PRY/CO/</w:t>
        </w:r>
        <w:r w:rsidR="0039380A" w:rsidRPr="003C7C55">
          <w:rPr>
            <w:rStyle w:val="Hipervnculo"/>
            <w:b/>
            <w:szCs w:val="22"/>
            <w:lang w:val="es-ES" w:eastAsia="en-US"/>
          </w:rPr>
          <w:t>6</w:t>
        </w:r>
      </w:hyperlink>
      <w:r w:rsidRPr="003C7C55">
        <w:rPr>
          <w:b/>
          <w:szCs w:val="22"/>
          <w:lang w:val="es-ES" w:eastAsia="en-US"/>
        </w:rPr>
        <w:t>, párr</w:t>
      </w:r>
      <w:r w:rsidR="0039380A" w:rsidRPr="003C7C55">
        <w:rPr>
          <w:b/>
          <w:szCs w:val="22"/>
          <w:lang w:val="es-ES" w:eastAsia="en-US"/>
        </w:rPr>
        <w:t>. 29</w:t>
      </w:r>
      <w:r w:rsidRPr="003C7C55">
        <w:rPr>
          <w:b/>
          <w:szCs w:val="22"/>
          <w:lang w:val="es-ES" w:eastAsia="en-US"/>
        </w:rPr>
        <w:t>), recomienda al Estado parte:</w:t>
      </w:r>
      <w:bookmarkEnd w:id="110"/>
    </w:p>
    <w:p w14:paraId="7A8D5830" w14:textId="77777777" w:rsidR="004E3FF9" w:rsidRPr="003C7C55" w:rsidRDefault="0092101B" w:rsidP="0092101B">
      <w:pPr>
        <w:pStyle w:val="SingleTxt"/>
        <w:rPr>
          <w:lang w:val="es-ES" w:eastAsia="en-US"/>
        </w:rPr>
      </w:pPr>
      <w:bookmarkStart w:id="111" w:name="bookmark_1448"/>
      <w:r w:rsidRPr="003C7C55">
        <w:rPr>
          <w:lang w:val="es-ES" w:eastAsia="en-US"/>
        </w:rPr>
        <w:tab/>
        <w:t>a)</w:t>
      </w:r>
      <w:r w:rsidRPr="003C7C55">
        <w:rPr>
          <w:lang w:val="es-ES" w:eastAsia="en-US"/>
        </w:rPr>
        <w:tab/>
      </w:r>
      <w:r w:rsidR="004E3FF9" w:rsidRPr="003C7C55">
        <w:rPr>
          <w:b/>
          <w:lang w:val="es-ES" w:eastAsia="en-US"/>
        </w:rPr>
        <w:t>Reducir la diferencia salarial por razón de género examinando periódicamente los salarios en los sectores donde se concentran las mujeres y estableciendo mecanismos eficaces de observación y fiscalización para las prácticas de empleo y contratación, a fin de garantizar que se cumpla en todos los sectores el principio de igual remuneración por trabajo de igual valor, y de garantizar el mismo salario mínimo para todos los trabajadores, incluidos los trabajadores domésticos;</w:t>
      </w:r>
      <w:bookmarkEnd w:id="111"/>
    </w:p>
    <w:p w14:paraId="24FF6346" w14:textId="77777777" w:rsidR="0039380A" w:rsidRPr="003C7C55" w:rsidRDefault="0092101B" w:rsidP="0092101B">
      <w:pPr>
        <w:pStyle w:val="SingleTxt"/>
        <w:rPr>
          <w:lang w:val="es-ES" w:eastAsia="en-US"/>
        </w:rPr>
      </w:pPr>
      <w:bookmarkStart w:id="112" w:name="bookmark_1449"/>
      <w:r w:rsidRPr="003C7C55">
        <w:rPr>
          <w:lang w:val="es-ES" w:eastAsia="en-US"/>
        </w:rPr>
        <w:tab/>
        <w:t>b)</w:t>
      </w:r>
      <w:r w:rsidRPr="003C7C55">
        <w:rPr>
          <w:lang w:val="es-ES" w:eastAsia="en-US"/>
        </w:rPr>
        <w:tab/>
      </w:r>
      <w:r w:rsidR="004E3FF9" w:rsidRPr="003C7C55">
        <w:rPr>
          <w:b/>
          <w:lang w:val="es-ES" w:eastAsia="en-US"/>
        </w:rPr>
        <w:t>Adoptar medidas específicas para mejorar el acceso de las mujeres al empleo formal, incluidos los puestos de gestión o decisión, mediante, entre otras cosas, la supervisión y la aplicación de la legislación que promueve y protege la maternidad y el fortalecimiento de los incentivos para que los hombres ejerzan su derecho a la licencia parental, así como la aceleración de la aprobación de la política nacional de atención, la prestación de servicios de guardería suficientes y adecuados y la promoción del reparto equitativo de las responsabilidades domésticas y familiares entre hombres y mujeres;</w:t>
      </w:r>
      <w:bookmarkEnd w:id="112"/>
    </w:p>
    <w:p w14:paraId="13BE65E9" w14:textId="77777777" w:rsidR="0039380A" w:rsidRPr="003C7C55" w:rsidRDefault="0092101B" w:rsidP="0092101B">
      <w:pPr>
        <w:pStyle w:val="SingleTxt"/>
        <w:rPr>
          <w:lang w:val="es-ES" w:eastAsia="en-US"/>
        </w:rPr>
      </w:pPr>
      <w:bookmarkStart w:id="113" w:name="bookmark_1450"/>
      <w:r w:rsidRPr="003C7C55">
        <w:rPr>
          <w:lang w:val="es-ES" w:eastAsia="en-US"/>
        </w:rPr>
        <w:tab/>
        <w:t>c)</w:t>
      </w:r>
      <w:r w:rsidRPr="003C7C55">
        <w:rPr>
          <w:lang w:val="es-ES" w:eastAsia="en-US"/>
        </w:rPr>
        <w:tab/>
      </w:r>
      <w:r w:rsidR="004E3FF9" w:rsidRPr="003C7C55">
        <w:rPr>
          <w:b/>
          <w:lang w:val="es-ES" w:eastAsia="en-US"/>
        </w:rPr>
        <w:t>Acelerar la aprobación del proyecto de ley que tipifique como delito la práctica del trabajo infantil doméstico no remunerado y vigilar y erradicar esta práctica, en particular sensibilizando a la población a través de los medios de comunicación y programas de educación pública acerca de la situación de las niñas que realizan trabajos domésticos y sobre sus derechos;</w:t>
      </w:r>
      <w:bookmarkEnd w:id="113"/>
    </w:p>
    <w:p w14:paraId="18756CBA" w14:textId="5FB73D7A" w:rsidR="004E3FF9" w:rsidRPr="003C7C55" w:rsidRDefault="0092101B" w:rsidP="0092101B">
      <w:pPr>
        <w:pStyle w:val="SingleTxt"/>
        <w:rPr>
          <w:lang w:val="es-ES" w:eastAsia="en-US"/>
        </w:rPr>
      </w:pPr>
      <w:bookmarkStart w:id="114" w:name="bookmark_1451"/>
      <w:r w:rsidRPr="003C7C55">
        <w:rPr>
          <w:lang w:val="es-ES" w:eastAsia="en-US"/>
        </w:rPr>
        <w:tab/>
        <w:t>d)</w:t>
      </w:r>
      <w:r w:rsidRPr="003C7C55">
        <w:rPr>
          <w:lang w:val="es-ES" w:eastAsia="en-US"/>
        </w:rPr>
        <w:tab/>
      </w:r>
      <w:r w:rsidR="004E3FF9" w:rsidRPr="003C7C55">
        <w:rPr>
          <w:b/>
          <w:lang w:val="es-ES" w:eastAsia="en-US"/>
        </w:rPr>
        <w:t>Prohibir las pruebas obligatorias de embarazo y VIH en los procedimientos de contratación y aplicar las sanciones adecuadas, y fortalecer los mecanismos de inspección laboral para mejorar la supervisión de las condiciones de trabajo de las mujeres, especialmente en el ámbito doméstico y en la creciente industria maquiladora;</w:t>
      </w:r>
      <w:bookmarkEnd w:id="114"/>
    </w:p>
    <w:p w14:paraId="6BD8DB55" w14:textId="3F21AA48" w:rsidR="004E3FF9" w:rsidRPr="003C7C55" w:rsidRDefault="0092101B" w:rsidP="0092101B">
      <w:pPr>
        <w:pStyle w:val="SingleTxt"/>
        <w:rPr>
          <w:lang w:val="es-ES" w:eastAsia="en-US"/>
        </w:rPr>
      </w:pPr>
      <w:bookmarkStart w:id="115" w:name="bookmark_1452"/>
      <w:r w:rsidRPr="003C7C55">
        <w:rPr>
          <w:lang w:val="es-ES" w:eastAsia="en-US"/>
        </w:rPr>
        <w:tab/>
        <w:t>e)</w:t>
      </w:r>
      <w:r w:rsidRPr="003C7C55">
        <w:rPr>
          <w:lang w:val="es-ES" w:eastAsia="en-US"/>
        </w:rPr>
        <w:tab/>
      </w:r>
      <w:r w:rsidR="004E3FF9" w:rsidRPr="003C7C55">
        <w:rPr>
          <w:b/>
          <w:lang w:val="es-ES" w:eastAsia="en-US"/>
        </w:rPr>
        <w:t>Introducir medidas especiales de carácter temporal, como una cuota específica para las mujeres con discapacidad, a fin de promover su inclusión en el empleo público y privado</w:t>
      </w:r>
      <w:r w:rsidR="0039380A" w:rsidRPr="003C7C55">
        <w:rPr>
          <w:b/>
          <w:lang w:val="es-ES" w:eastAsia="en-US"/>
        </w:rPr>
        <w:t>.</w:t>
      </w:r>
      <w:bookmarkEnd w:id="115"/>
    </w:p>
    <w:p w14:paraId="79633BD2" w14:textId="77777777" w:rsidR="00B64BBF" w:rsidRPr="003C7C55" w:rsidRDefault="00B64BBF" w:rsidP="00B64BBF">
      <w:pPr>
        <w:pStyle w:val="SingleTxt"/>
        <w:spacing w:after="0" w:line="120" w:lineRule="exact"/>
        <w:rPr>
          <w:sz w:val="10"/>
          <w:szCs w:val="10"/>
          <w:lang w:val="es-ES"/>
        </w:rPr>
      </w:pPr>
      <w:bookmarkStart w:id="116" w:name="bookmark_1453"/>
    </w:p>
    <w:p w14:paraId="6EFACF83"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Salud</w:t>
      </w:r>
      <w:bookmarkEnd w:id="116"/>
    </w:p>
    <w:p w14:paraId="26F7C7E8" w14:textId="77777777" w:rsidR="00B64BBF" w:rsidRPr="003C7C55" w:rsidRDefault="00B64BBF" w:rsidP="00B64BBF">
      <w:pPr>
        <w:pStyle w:val="SingleTxt"/>
        <w:spacing w:after="0" w:line="120" w:lineRule="exact"/>
        <w:rPr>
          <w:sz w:val="10"/>
          <w:szCs w:val="10"/>
          <w:lang w:val="es-ES"/>
        </w:rPr>
      </w:pPr>
    </w:p>
    <w:p w14:paraId="0ABCD7BE" w14:textId="17A1D6C9" w:rsidR="004E3FF9" w:rsidRPr="003C7C55" w:rsidRDefault="004E3FF9" w:rsidP="009F6113">
      <w:pPr>
        <w:pStyle w:val="SingleTxt"/>
        <w:numPr>
          <w:ilvl w:val="0"/>
          <w:numId w:val="5"/>
        </w:numPr>
        <w:tabs>
          <w:tab w:val="num" w:pos="1742"/>
        </w:tabs>
        <w:ind w:left="1267" w:firstLine="0"/>
        <w:rPr>
          <w:szCs w:val="22"/>
          <w:lang w:val="es-ES" w:eastAsia="en-US"/>
        </w:rPr>
      </w:pPr>
      <w:bookmarkStart w:id="117" w:name="bookmark_1454"/>
      <w:r w:rsidRPr="003C7C55">
        <w:rPr>
          <w:szCs w:val="22"/>
          <w:lang w:val="es-ES" w:eastAsia="en-US"/>
        </w:rPr>
        <w:t>El Comité acoge con satisfacción la aprobación del actual plan nacional de salud sexual y reproductiva y la introducción de directrices sobre la prestación de servicios integrales posaborto, que requieren la plena confidencialidad y el secreto médico para las mujeres que se someten a un aborto</w:t>
      </w:r>
      <w:r w:rsidR="0039380A" w:rsidRPr="003C7C55">
        <w:rPr>
          <w:szCs w:val="22"/>
          <w:lang w:val="es-ES" w:eastAsia="en-US"/>
        </w:rPr>
        <w:t>.</w:t>
      </w:r>
      <w:r w:rsidRPr="003C7C55">
        <w:rPr>
          <w:szCs w:val="22"/>
          <w:lang w:val="es-ES" w:eastAsia="en-US"/>
        </w:rPr>
        <w:t xml:space="preserve"> También toma nota de las iniciativas adoptadas mediante la estrategia de </w:t>
      </w:r>
      <w:r w:rsidR="00182F11" w:rsidRPr="003C7C55">
        <w:rPr>
          <w:szCs w:val="22"/>
          <w:lang w:val="es-ES" w:eastAsia="en-US"/>
        </w:rPr>
        <w:t>“</w:t>
      </w:r>
      <w:r w:rsidRPr="003C7C55">
        <w:rPr>
          <w:szCs w:val="22"/>
          <w:lang w:val="es-ES" w:eastAsia="en-US"/>
        </w:rPr>
        <w:t>Código Rojo</w:t>
      </w:r>
      <w:r w:rsidR="00182F11" w:rsidRPr="003C7C55">
        <w:rPr>
          <w:szCs w:val="22"/>
          <w:lang w:val="es-ES" w:eastAsia="en-US"/>
        </w:rPr>
        <w:t>”</w:t>
      </w:r>
      <w:r w:rsidRPr="003C7C55">
        <w:rPr>
          <w:szCs w:val="22"/>
          <w:lang w:val="es-ES" w:eastAsia="en-US"/>
        </w:rPr>
        <w:t xml:space="preserve"> para reducir la mortalidad materna y de la distribución de botiquines sanitarios y obstétricos a las unidades de salud de la familia, que se extienden a las zonas rurales e indígenas</w:t>
      </w:r>
      <w:r w:rsidR="0039380A" w:rsidRPr="003C7C55">
        <w:rPr>
          <w:szCs w:val="22"/>
          <w:lang w:val="es-ES" w:eastAsia="en-US"/>
        </w:rPr>
        <w:t>.</w:t>
      </w:r>
      <w:r w:rsidRPr="003C7C55">
        <w:rPr>
          <w:szCs w:val="22"/>
          <w:lang w:val="es-ES" w:eastAsia="en-US"/>
        </w:rPr>
        <w:t xml:space="preserve"> No</w:t>
      </w:r>
      <w:r w:rsidR="0039380A" w:rsidRPr="003C7C55">
        <w:rPr>
          <w:szCs w:val="22"/>
          <w:lang w:val="es-ES" w:eastAsia="en-US"/>
        </w:rPr>
        <w:t xml:space="preserve"> </w:t>
      </w:r>
      <w:r w:rsidRPr="003C7C55">
        <w:rPr>
          <w:szCs w:val="22"/>
          <w:lang w:val="es-ES" w:eastAsia="en-US"/>
        </w:rPr>
        <w:t>obstante, expresa inquietud por:</w:t>
      </w:r>
      <w:bookmarkEnd w:id="117"/>
    </w:p>
    <w:p w14:paraId="09AD39F1" w14:textId="77777777" w:rsidR="004E3FF9" w:rsidRPr="003C7C55" w:rsidRDefault="00E44001" w:rsidP="00E44001">
      <w:pPr>
        <w:pStyle w:val="SingleTxt"/>
        <w:rPr>
          <w:lang w:val="es-ES" w:eastAsia="en-US"/>
        </w:rPr>
      </w:pPr>
      <w:bookmarkStart w:id="118" w:name="bookmark_1455"/>
      <w:r w:rsidRPr="003C7C55">
        <w:rPr>
          <w:lang w:val="es-ES" w:eastAsia="en-US"/>
        </w:rPr>
        <w:tab/>
        <w:t>a)</w:t>
      </w:r>
      <w:r w:rsidRPr="003C7C55">
        <w:rPr>
          <w:lang w:val="es-ES" w:eastAsia="en-US"/>
        </w:rPr>
        <w:tab/>
      </w:r>
      <w:r w:rsidR="004E3FF9" w:rsidRPr="003C7C55">
        <w:rPr>
          <w:lang w:val="es-ES" w:eastAsia="en-US"/>
        </w:rPr>
        <w:t>Las demoras en la aprobación del proyecto de ley sobre la salud sexual, reproductiva, materna y perinatal;</w:t>
      </w:r>
      <w:bookmarkEnd w:id="118"/>
    </w:p>
    <w:p w14:paraId="55948294" w14:textId="77777777" w:rsidR="004E3FF9" w:rsidRPr="003C7C55" w:rsidRDefault="00E44001" w:rsidP="00E44001">
      <w:pPr>
        <w:pStyle w:val="SingleTxt"/>
        <w:rPr>
          <w:lang w:val="es-ES" w:eastAsia="en-US"/>
        </w:rPr>
      </w:pPr>
      <w:bookmarkStart w:id="119" w:name="bookmark_1456"/>
      <w:r w:rsidRPr="003C7C55">
        <w:rPr>
          <w:lang w:val="es-ES" w:eastAsia="en-US"/>
        </w:rPr>
        <w:tab/>
        <w:t>b)</w:t>
      </w:r>
      <w:r w:rsidRPr="003C7C55">
        <w:rPr>
          <w:lang w:val="es-ES" w:eastAsia="en-US"/>
        </w:rPr>
        <w:tab/>
      </w:r>
      <w:r w:rsidR="004E3FF9" w:rsidRPr="003C7C55">
        <w:rPr>
          <w:lang w:val="es-ES" w:eastAsia="en-US"/>
        </w:rPr>
        <w:t>La brecha significativa entre las zonas rurales y urbanas en lo relativo al acceso a servicios de atención prenatal, de maternidad y posnatal asequibles y de alta calidad, lo que da lugar a una cantidad elevada de partos sin asistencia y de nacimientos no inscritos;</w:t>
      </w:r>
      <w:bookmarkEnd w:id="119"/>
    </w:p>
    <w:p w14:paraId="3D62522A" w14:textId="77777777" w:rsidR="004E3FF9" w:rsidRPr="003C7C55" w:rsidRDefault="00E44001" w:rsidP="00E44001">
      <w:pPr>
        <w:pStyle w:val="SingleTxt"/>
        <w:rPr>
          <w:lang w:val="es-ES" w:eastAsia="en-US"/>
        </w:rPr>
      </w:pPr>
      <w:bookmarkStart w:id="120" w:name="bookmark_1457"/>
      <w:r w:rsidRPr="003C7C55">
        <w:rPr>
          <w:lang w:val="es-ES" w:eastAsia="en-US"/>
        </w:rPr>
        <w:tab/>
        <w:t>c)</w:t>
      </w:r>
      <w:r w:rsidRPr="003C7C55">
        <w:rPr>
          <w:lang w:val="es-ES" w:eastAsia="en-US"/>
        </w:rPr>
        <w:tab/>
      </w:r>
      <w:r w:rsidR="004E3FF9" w:rsidRPr="003C7C55">
        <w:rPr>
          <w:lang w:val="es-ES" w:eastAsia="en-US"/>
        </w:rPr>
        <w:t>Las elevadas tasas de mortalidad materna, debidas principalmente a los abortos en condiciones de riesgo y a los profesionales de la salud que se niegan a practicar abortos terapéuticos y denuncian ante la policía a las mujeres que solicitan asistencia relacionada con el aborto;</w:t>
      </w:r>
      <w:bookmarkEnd w:id="120"/>
    </w:p>
    <w:p w14:paraId="7FF6EC65" w14:textId="77777777" w:rsidR="004E3FF9" w:rsidRPr="003C7C55" w:rsidRDefault="00E44001" w:rsidP="00E44001">
      <w:pPr>
        <w:pStyle w:val="SingleTxt"/>
        <w:rPr>
          <w:lang w:val="es-ES" w:eastAsia="en-US"/>
        </w:rPr>
      </w:pPr>
      <w:bookmarkStart w:id="121" w:name="bookmark_1458"/>
      <w:r w:rsidRPr="003C7C55">
        <w:rPr>
          <w:lang w:val="es-ES" w:eastAsia="en-US"/>
        </w:rPr>
        <w:tab/>
        <w:t>d)</w:t>
      </w:r>
      <w:r w:rsidRPr="003C7C55">
        <w:rPr>
          <w:lang w:val="es-ES" w:eastAsia="en-US"/>
        </w:rPr>
        <w:tab/>
      </w:r>
      <w:r w:rsidR="004E3FF9" w:rsidRPr="003C7C55">
        <w:rPr>
          <w:lang w:val="es-ES" w:eastAsia="en-US"/>
        </w:rPr>
        <w:t>La tipificación del aborto como delito y las condiciones restrictivas que rigen la disponibilidad de los abortos legales, es decir, solo en casos de amenaza a la vida de la mujer embarazada, excluyendo otras circunstancias como las amenazas para su salud, la violación, el incesto y la malformación grave del feto;</w:t>
      </w:r>
      <w:bookmarkEnd w:id="121"/>
    </w:p>
    <w:p w14:paraId="3ED7E869" w14:textId="0F1BEFFE" w:rsidR="004E3FF9" w:rsidRPr="003C7C55" w:rsidRDefault="00E44001" w:rsidP="00E44001">
      <w:pPr>
        <w:pStyle w:val="SingleTxt"/>
        <w:rPr>
          <w:lang w:val="es-ES" w:eastAsia="en-US"/>
        </w:rPr>
      </w:pPr>
      <w:bookmarkStart w:id="122" w:name="bookmark_1459"/>
      <w:r w:rsidRPr="003C7C55">
        <w:rPr>
          <w:lang w:val="es-ES" w:eastAsia="en-US"/>
        </w:rPr>
        <w:tab/>
        <w:t>e)</w:t>
      </w:r>
      <w:r w:rsidRPr="003C7C55">
        <w:rPr>
          <w:lang w:val="es-ES" w:eastAsia="en-US"/>
        </w:rPr>
        <w:tab/>
      </w:r>
      <w:r w:rsidR="004E3FF9" w:rsidRPr="003C7C55">
        <w:rPr>
          <w:lang w:val="es-ES" w:eastAsia="en-US"/>
        </w:rPr>
        <w:t>Las elevadas tasas de mortalidad derivadas del cáncer de mama y del</w:t>
      </w:r>
      <w:r w:rsidR="0039380A" w:rsidRPr="003C7C55">
        <w:rPr>
          <w:lang w:val="es-ES" w:eastAsia="en-US"/>
        </w:rPr>
        <w:t xml:space="preserve"> </w:t>
      </w:r>
      <w:r w:rsidR="004E3FF9" w:rsidRPr="003C7C55">
        <w:rPr>
          <w:lang w:val="es-ES" w:eastAsia="en-US"/>
        </w:rPr>
        <w:t>cáncer cervicouterino en el Estado parte, que están entre las más altas de América</w:t>
      </w:r>
      <w:r w:rsidR="0039380A" w:rsidRPr="003C7C55">
        <w:rPr>
          <w:lang w:val="es-ES" w:eastAsia="en-US"/>
        </w:rPr>
        <w:t xml:space="preserve"> </w:t>
      </w:r>
      <w:r w:rsidR="004E3FF9" w:rsidRPr="003C7C55">
        <w:rPr>
          <w:lang w:val="es-ES" w:eastAsia="en-US"/>
        </w:rPr>
        <w:t>Latina;</w:t>
      </w:r>
      <w:bookmarkEnd w:id="122"/>
    </w:p>
    <w:p w14:paraId="7BFBD896" w14:textId="2B8248B2" w:rsidR="004E3FF9" w:rsidRPr="003C7C55" w:rsidRDefault="00E44001" w:rsidP="00E44001">
      <w:pPr>
        <w:pStyle w:val="SingleTxt"/>
        <w:rPr>
          <w:lang w:val="es-ES" w:eastAsia="en-US"/>
        </w:rPr>
      </w:pPr>
      <w:bookmarkStart w:id="123" w:name="bookmark_1460"/>
      <w:r w:rsidRPr="003C7C55">
        <w:rPr>
          <w:lang w:val="es-ES" w:eastAsia="en-US"/>
        </w:rPr>
        <w:tab/>
        <w:t>f)</w:t>
      </w:r>
      <w:r w:rsidRPr="003C7C55">
        <w:rPr>
          <w:lang w:val="es-ES" w:eastAsia="en-US"/>
        </w:rPr>
        <w:tab/>
      </w:r>
      <w:r w:rsidR="004E3FF9" w:rsidRPr="003C7C55">
        <w:rPr>
          <w:lang w:val="es-ES" w:eastAsia="en-US"/>
        </w:rPr>
        <w:t>Las mujeres que ejercen la prostitución, las mujeres con discapacidad, las</w:t>
      </w:r>
      <w:r w:rsidR="0039380A" w:rsidRPr="003C7C55">
        <w:rPr>
          <w:lang w:val="es-ES" w:eastAsia="en-US"/>
        </w:rPr>
        <w:t xml:space="preserve"> </w:t>
      </w:r>
      <w:r w:rsidR="004E3FF9" w:rsidRPr="003C7C55">
        <w:rPr>
          <w:lang w:val="es-ES" w:eastAsia="en-US"/>
        </w:rPr>
        <w:t>mujeres lesbianas, bisexuales y transexuales y las personas intersexuales y las</w:t>
      </w:r>
      <w:r w:rsidR="0039380A" w:rsidRPr="003C7C55">
        <w:rPr>
          <w:lang w:val="es-ES" w:eastAsia="en-US"/>
        </w:rPr>
        <w:t xml:space="preserve"> </w:t>
      </w:r>
      <w:r w:rsidR="004E3FF9" w:rsidRPr="003C7C55">
        <w:rPr>
          <w:lang w:val="es-ES" w:eastAsia="en-US"/>
        </w:rPr>
        <w:t>mujeres que viven con el VIH/SIDA tienen dificultades para acceder a los servicios de salud y son objeto de discriminación y malos tratos por parte del personal sanitario</w:t>
      </w:r>
      <w:r w:rsidR="0039380A" w:rsidRPr="003C7C55">
        <w:rPr>
          <w:lang w:val="es-ES" w:eastAsia="en-US"/>
        </w:rPr>
        <w:t>.</w:t>
      </w:r>
      <w:bookmarkEnd w:id="123"/>
    </w:p>
    <w:p w14:paraId="07B0E789" w14:textId="0523ED98" w:rsidR="004E3FF9" w:rsidRPr="003C7C55" w:rsidRDefault="004E3FF9" w:rsidP="009F6113">
      <w:pPr>
        <w:pStyle w:val="SingleTxt"/>
        <w:numPr>
          <w:ilvl w:val="0"/>
          <w:numId w:val="5"/>
        </w:numPr>
        <w:tabs>
          <w:tab w:val="num" w:pos="1742"/>
        </w:tabs>
        <w:ind w:left="1267" w:firstLine="0"/>
        <w:rPr>
          <w:b/>
          <w:szCs w:val="22"/>
          <w:lang w:val="es-ES" w:eastAsia="en-US"/>
        </w:rPr>
      </w:pPr>
      <w:bookmarkStart w:id="124" w:name="bookmark_1461"/>
      <w:r w:rsidRPr="003C7C55">
        <w:rPr>
          <w:b/>
          <w:szCs w:val="22"/>
          <w:lang w:val="es-ES" w:eastAsia="en-US"/>
        </w:rPr>
        <w:t>El Comité recuerda sus anteriores observaciones finales (</w:t>
      </w:r>
      <w:hyperlink r:id="rId31" w:history="1">
        <w:r w:rsidRPr="003C7C55">
          <w:rPr>
            <w:rStyle w:val="Hipervnculo"/>
            <w:b/>
            <w:szCs w:val="22"/>
            <w:lang w:val="es-ES" w:eastAsia="en-US"/>
          </w:rPr>
          <w:t>CEDAW/C/PRY/CO/</w:t>
        </w:r>
        <w:r w:rsidR="0039380A" w:rsidRPr="003C7C55">
          <w:rPr>
            <w:rStyle w:val="Hipervnculo"/>
            <w:b/>
            <w:szCs w:val="22"/>
            <w:lang w:val="es-ES" w:eastAsia="en-US"/>
          </w:rPr>
          <w:t>6</w:t>
        </w:r>
      </w:hyperlink>
      <w:r w:rsidRPr="003C7C55">
        <w:rPr>
          <w:b/>
          <w:szCs w:val="22"/>
          <w:lang w:val="es-ES" w:eastAsia="en-US"/>
        </w:rPr>
        <w:t>, párr</w:t>
      </w:r>
      <w:r w:rsidR="0039380A" w:rsidRPr="003C7C55">
        <w:rPr>
          <w:b/>
          <w:szCs w:val="22"/>
          <w:lang w:val="es-ES" w:eastAsia="en-US"/>
        </w:rPr>
        <w:t>. 31</w:t>
      </w:r>
      <w:r w:rsidRPr="003C7C55">
        <w:rPr>
          <w:b/>
          <w:szCs w:val="22"/>
          <w:lang w:val="es-ES" w:eastAsia="en-US"/>
        </w:rPr>
        <w:t>) y recomienda al Estado parte que:</w:t>
      </w:r>
      <w:bookmarkEnd w:id="124"/>
    </w:p>
    <w:p w14:paraId="28AF1BC2" w14:textId="77777777" w:rsidR="004E3FF9" w:rsidRPr="003C7C55" w:rsidRDefault="00BD77DA" w:rsidP="00BD77DA">
      <w:pPr>
        <w:pStyle w:val="SingleTxt"/>
        <w:rPr>
          <w:lang w:val="es-ES" w:eastAsia="en-US"/>
        </w:rPr>
      </w:pPr>
      <w:bookmarkStart w:id="125" w:name="bookmark_1462"/>
      <w:r w:rsidRPr="003C7C55">
        <w:rPr>
          <w:lang w:val="es-ES" w:eastAsia="en-US"/>
        </w:rPr>
        <w:tab/>
        <w:t>a)</w:t>
      </w:r>
      <w:r w:rsidRPr="003C7C55">
        <w:rPr>
          <w:lang w:val="es-ES" w:eastAsia="en-US"/>
        </w:rPr>
        <w:tab/>
      </w:r>
      <w:r w:rsidR="004E3FF9" w:rsidRPr="003C7C55">
        <w:rPr>
          <w:b/>
          <w:lang w:val="es-ES" w:eastAsia="en-US"/>
        </w:rPr>
        <w:t>Acelere la aprobación del proyecto de ley sobre la salud sexual, reproductiva, materna y perinatal;</w:t>
      </w:r>
      <w:bookmarkEnd w:id="125"/>
    </w:p>
    <w:p w14:paraId="60C8A2AA" w14:textId="77777777" w:rsidR="004E3FF9" w:rsidRPr="003C7C55" w:rsidRDefault="00BD77DA" w:rsidP="00BD77DA">
      <w:pPr>
        <w:pStyle w:val="SingleTxt"/>
        <w:rPr>
          <w:lang w:val="es-ES" w:eastAsia="en-US"/>
        </w:rPr>
      </w:pPr>
      <w:bookmarkStart w:id="126" w:name="bookmark_1463"/>
      <w:r w:rsidRPr="003C7C55">
        <w:rPr>
          <w:lang w:val="es-ES" w:eastAsia="en-US"/>
        </w:rPr>
        <w:tab/>
        <w:t>b)</w:t>
      </w:r>
      <w:r w:rsidRPr="003C7C55">
        <w:rPr>
          <w:lang w:val="es-ES" w:eastAsia="en-US"/>
        </w:rPr>
        <w:tab/>
      </w:r>
      <w:r w:rsidR="004E3FF9" w:rsidRPr="003C7C55">
        <w:rPr>
          <w:b/>
          <w:lang w:val="es-ES" w:eastAsia="en-US"/>
        </w:rPr>
        <w:t>Adopte medidas para superar los obstáculos que impiden el buen funcionamiento de los servicios de obstetricia y ginecología identificados en el estudio de la Defensoría del Pueblo, y vele por que las mujeres rurales e indígenas tengan acceso a servicios de atención prenatal, de maternidad y posnatal asequibles y de alta calidad, entre otras cosas aumentando el número de unidades de salud de la familia;</w:t>
      </w:r>
      <w:bookmarkEnd w:id="126"/>
    </w:p>
    <w:p w14:paraId="0C152EA6" w14:textId="77777777" w:rsidR="004E3FF9" w:rsidRPr="003C7C55" w:rsidRDefault="00BD77DA" w:rsidP="00BD77DA">
      <w:pPr>
        <w:pStyle w:val="SingleTxt"/>
        <w:rPr>
          <w:lang w:val="es-ES" w:eastAsia="en-US"/>
        </w:rPr>
      </w:pPr>
      <w:bookmarkStart w:id="127" w:name="bookmark_1464"/>
      <w:r w:rsidRPr="003C7C55">
        <w:rPr>
          <w:lang w:val="es-ES" w:eastAsia="en-US"/>
        </w:rPr>
        <w:tab/>
        <w:t>c)</w:t>
      </w:r>
      <w:r w:rsidRPr="003C7C55">
        <w:rPr>
          <w:lang w:val="es-ES" w:eastAsia="en-US"/>
        </w:rPr>
        <w:tab/>
      </w:r>
      <w:r w:rsidR="004E3FF9" w:rsidRPr="003C7C55">
        <w:rPr>
          <w:b/>
          <w:lang w:val="es-ES" w:eastAsia="en-US"/>
        </w:rPr>
        <w:t>Vele por la aplicación de las directrices aprobadas relativas a la obligación de confidencialidad en el sistema de atención sanitaria, en particular mediante la capacitación de los proveedores sanitarios con respecto a estas directrices, y elabore orientaciones adicionales para los profesionales de la salud sobre los requisitos y procedimientos para la práctica de abortos terapéuticos, a fin de garantizar que las mujeres gocen de acceso efectivo a los servicios de salud reproductiva, incluido el aborto y la atención posaborto;</w:t>
      </w:r>
      <w:bookmarkEnd w:id="127"/>
    </w:p>
    <w:p w14:paraId="23AB5672" w14:textId="77777777" w:rsidR="004E3FF9" w:rsidRPr="003C7C55" w:rsidRDefault="00BD77DA" w:rsidP="00BD77DA">
      <w:pPr>
        <w:pStyle w:val="SingleTxt"/>
        <w:rPr>
          <w:lang w:val="es-ES" w:eastAsia="en-US"/>
        </w:rPr>
      </w:pPr>
      <w:bookmarkStart w:id="128" w:name="bookmark_1465"/>
      <w:r w:rsidRPr="003C7C55">
        <w:rPr>
          <w:lang w:val="es-ES" w:eastAsia="en-US"/>
        </w:rPr>
        <w:tab/>
        <w:t>d)</w:t>
      </w:r>
      <w:r w:rsidRPr="003C7C55">
        <w:rPr>
          <w:lang w:val="es-ES" w:eastAsia="en-US"/>
        </w:rPr>
        <w:tab/>
      </w:r>
      <w:r w:rsidR="004E3FF9" w:rsidRPr="003C7C55">
        <w:rPr>
          <w:b/>
          <w:lang w:val="es-ES" w:eastAsia="en-US"/>
        </w:rPr>
        <w:t>Elimine las disposiciones punitivas impuestas a las mujeres que se someten a un aborto, legalice el aborto al menos en los casos de riesgo para la salud de la mujer, violación o incesto y en los casos de malformación grave del feto, y lo despenalice en todos los demás casos;</w:t>
      </w:r>
      <w:bookmarkEnd w:id="128"/>
    </w:p>
    <w:p w14:paraId="7F201978" w14:textId="77777777" w:rsidR="004E3FF9" w:rsidRPr="003C7C55" w:rsidRDefault="00BD77DA" w:rsidP="00BD77DA">
      <w:pPr>
        <w:pStyle w:val="SingleTxt"/>
        <w:rPr>
          <w:lang w:val="es-ES" w:eastAsia="en-US"/>
        </w:rPr>
      </w:pPr>
      <w:bookmarkStart w:id="129" w:name="bookmark_1466"/>
      <w:r w:rsidRPr="003C7C55">
        <w:rPr>
          <w:lang w:val="es-ES" w:eastAsia="en-US"/>
        </w:rPr>
        <w:tab/>
        <w:t>e)</w:t>
      </w:r>
      <w:r w:rsidRPr="003C7C55">
        <w:rPr>
          <w:lang w:val="es-ES" w:eastAsia="en-US"/>
        </w:rPr>
        <w:tab/>
      </w:r>
      <w:r w:rsidR="004E3FF9" w:rsidRPr="003C7C55">
        <w:rPr>
          <w:b/>
          <w:lang w:val="es-ES" w:eastAsia="en-US"/>
        </w:rPr>
        <w:t>Fortalezca las iniciativas para combatir las elevadas tasas de cáncer de mama y de cáncer cervicouterino mediante, entre otras cosas, la mejora de la prevención, la detección temprana, el tratamiento y el apoyo psicológico a las mujeres y las niñas con cáncer y la asignación de recursos humanos y financieros adecuados para tal fin;</w:t>
      </w:r>
      <w:bookmarkEnd w:id="129"/>
    </w:p>
    <w:p w14:paraId="0D7E0A6E" w14:textId="73FD20D4" w:rsidR="004E3FF9" w:rsidRPr="003C7C55" w:rsidRDefault="00BD77DA" w:rsidP="00BD77DA">
      <w:pPr>
        <w:pStyle w:val="SingleTxt"/>
        <w:rPr>
          <w:lang w:val="es-ES" w:eastAsia="en-US"/>
        </w:rPr>
      </w:pPr>
      <w:bookmarkStart w:id="130" w:name="bookmark_1467"/>
      <w:r w:rsidRPr="003C7C55">
        <w:rPr>
          <w:lang w:val="es-ES" w:eastAsia="en-US"/>
        </w:rPr>
        <w:tab/>
        <w:t>f)</w:t>
      </w:r>
      <w:r w:rsidRPr="003C7C55">
        <w:rPr>
          <w:lang w:val="es-ES" w:eastAsia="en-US"/>
        </w:rPr>
        <w:tab/>
      </w:r>
      <w:r w:rsidR="004E3FF9" w:rsidRPr="003C7C55">
        <w:rPr>
          <w:b/>
          <w:lang w:val="es-ES" w:eastAsia="en-US"/>
        </w:rPr>
        <w:t>Garantice el acceso a los servicios de salud para todas las mujeres y niñas, incluidas las mujeres y niñas que viven con el VIH/SIDA, las mujeres y niñas con discapacidad, las mujeres y niñas que ejercen la prostitución y las mujeres lesbianas, bisexuales y transexuales y las personas intersexuales, y adopte medidas para castigar el trato discriminatorio contra ellas y combatir su estigmatización y exclusión social</w:t>
      </w:r>
      <w:r w:rsidR="0039380A" w:rsidRPr="003C7C55">
        <w:rPr>
          <w:b/>
          <w:lang w:val="es-ES" w:eastAsia="en-US"/>
        </w:rPr>
        <w:t>.</w:t>
      </w:r>
      <w:bookmarkEnd w:id="130"/>
    </w:p>
    <w:p w14:paraId="3762DEED" w14:textId="77777777" w:rsidR="00B64BBF" w:rsidRPr="003C7C55" w:rsidRDefault="00B64BBF" w:rsidP="00B64BBF">
      <w:pPr>
        <w:pStyle w:val="SingleTxt"/>
        <w:spacing w:after="0" w:line="120" w:lineRule="exact"/>
        <w:rPr>
          <w:sz w:val="10"/>
          <w:szCs w:val="10"/>
          <w:lang w:val="es-ES"/>
        </w:rPr>
      </w:pPr>
      <w:bookmarkStart w:id="131" w:name="bookmark_1468"/>
    </w:p>
    <w:p w14:paraId="670EF014" w14:textId="77777777"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Empoderamiento económico de la mujer</w:t>
      </w:r>
      <w:bookmarkEnd w:id="131"/>
    </w:p>
    <w:p w14:paraId="431D2221" w14:textId="77777777" w:rsidR="00B64BBF" w:rsidRPr="003C7C55" w:rsidRDefault="00B64BBF" w:rsidP="00B64BBF">
      <w:pPr>
        <w:pStyle w:val="SingleTxt"/>
        <w:spacing w:after="0" w:line="120" w:lineRule="exact"/>
        <w:rPr>
          <w:sz w:val="10"/>
          <w:szCs w:val="10"/>
          <w:lang w:val="es-ES"/>
        </w:rPr>
      </w:pPr>
    </w:p>
    <w:p w14:paraId="4FB33749" w14:textId="755C18B0" w:rsidR="004E3FF9" w:rsidRPr="003C7C55" w:rsidRDefault="004E3FF9" w:rsidP="009F6113">
      <w:pPr>
        <w:pStyle w:val="SingleTxt"/>
        <w:numPr>
          <w:ilvl w:val="0"/>
          <w:numId w:val="5"/>
        </w:numPr>
        <w:tabs>
          <w:tab w:val="num" w:pos="1742"/>
        </w:tabs>
        <w:ind w:left="1267" w:firstLine="0"/>
        <w:rPr>
          <w:szCs w:val="22"/>
          <w:lang w:val="es-ES" w:eastAsia="en-US"/>
        </w:rPr>
      </w:pPr>
      <w:bookmarkStart w:id="132" w:name="bookmark_1469"/>
      <w:r w:rsidRPr="003C7C55">
        <w:rPr>
          <w:szCs w:val="22"/>
          <w:lang w:val="es-ES" w:eastAsia="en-US"/>
        </w:rPr>
        <w:t>El Comité acoge con satisfacción la capacitación de las mujeres vulnerables que son cabeza de familia sobre planificación empresarial por parte del Sistema Nacional de Formación y Capacitación Laboral y la creación del Crédito Agrícola de Habilitación para la introducción de servicios innovadores de préstamos para las mujeres</w:t>
      </w:r>
      <w:r w:rsidR="0039380A" w:rsidRPr="003C7C55">
        <w:rPr>
          <w:szCs w:val="22"/>
          <w:lang w:val="es-ES" w:eastAsia="en-US"/>
        </w:rPr>
        <w:t>.</w:t>
      </w:r>
      <w:r w:rsidRPr="003C7C55">
        <w:rPr>
          <w:szCs w:val="22"/>
          <w:lang w:val="es-ES" w:eastAsia="en-US"/>
        </w:rPr>
        <w:t xml:space="preserve"> No obstante, expresa inquietud por:</w:t>
      </w:r>
      <w:bookmarkEnd w:id="132"/>
    </w:p>
    <w:p w14:paraId="295CC98E" w14:textId="4773C556" w:rsidR="004E3FF9" w:rsidRPr="003C7C55" w:rsidRDefault="00195AEB" w:rsidP="00195AEB">
      <w:pPr>
        <w:pStyle w:val="SingleTxt"/>
        <w:rPr>
          <w:lang w:val="es-ES" w:eastAsia="en-US"/>
        </w:rPr>
      </w:pPr>
      <w:bookmarkStart w:id="133" w:name="bookmark_1470"/>
      <w:r w:rsidRPr="003C7C55">
        <w:rPr>
          <w:lang w:val="es-ES" w:eastAsia="en-US"/>
        </w:rPr>
        <w:tab/>
      </w:r>
      <w:r w:rsidR="004E3FF9" w:rsidRPr="003C7C55">
        <w:rPr>
          <w:lang w:val="es-ES" w:eastAsia="en-US"/>
        </w:rPr>
        <w:t>a)</w:t>
      </w:r>
      <w:r w:rsidR="004E3FF9" w:rsidRPr="003C7C55">
        <w:rPr>
          <w:lang w:val="es-ES" w:eastAsia="en-US"/>
        </w:rPr>
        <w:tab/>
        <w:t>La falta de una perspectiva de género en la estrategia nacional para la inclusión financiera, lo cual limita los efectos que tiene esta estrategia sobre la</w:t>
      </w:r>
      <w:r w:rsidR="0039380A" w:rsidRPr="003C7C55">
        <w:rPr>
          <w:lang w:val="es-ES" w:eastAsia="en-US"/>
        </w:rPr>
        <w:t xml:space="preserve"> </w:t>
      </w:r>
      <w:r w:rsidR="004E3FF9" w:rsidRPr="003C7C55">
        <w:rPr>
          <w:lang w:val="es-ES" w:eastAsia="en-US"/>
        </w:rPr>
        <w:t>mujer;</w:t>
      </w:r>
      <w:bookmarkEnd w:id="133"/>
    </w:p>
    <w:p w14:paraId="67AD24D9" w14:textId="77777777" w:rsidR="004E3FF9" w:rsidRPr="003C7C55" w:rsidRDefault="00195AEB" w:rsidP="00195AEB">
      <w:pPr>
        <w:pStyle w:val="SingleTxt"/>
        <w:rPr>
          <w:lang w:val="es-ES" w:eastAsia="en-US"/>
        </w:rPr>
      </w:pPr>
      <w:bookmarkStart w:id="134" w:name="bookmark_1471"/>
      <w:r w:rsidRPr="003C7C55">
        <w:rPr>
          <w:lang w:val="es-ES" w:eastAsia="en-US"/>
        </w:rPr>
        <w:tab/>
      </w:r>
      <w:r w:rsidR="004E3FF9" w:rsidRPr="003C7C55">
        <w:rPr>
          <w:lang w:val="es-ES" w:eastAsia="en-US"/>
        </w:rPr>
        <w:t>b)</w:t>
      </w:r>
      <w:r w:rsidR="004E3FF9" w:rsidRPr="003C7C55">
        <w:rPr>
          <w:lang w:val="es-ES" w:eastAsia="en-US"/>
        </w:rPr>
        <w:tab/>
        <w:t>La persistencia de los obstáculos que impiden la igualdad de acceso de las mujeres al crédito financiero, por ejemplo la falta de documentos de identidad;</w:t>
      </w:r>
      <w:bookmarkEnd w:id="134"/>
    </w:p>
    <w:p w14:paraId="786B97FB" w14:textId="7CEB3B22" w:rsidR="004E3FF9" w:rsidRPr="003C7C55" w:rsidRDefault="00195AEB" w:rsidP="00195AEB">
      <w:pPr>
        <w:pStyle w:val="SingleTxt"/>
        <w:rPr>
          <w:lang w:val="es-ES" w:eastAsia="en-US"/>
        </w:rPr>
      </w:pPr>
      <w:bookmarkStart w:id="135" w:name="bookmark_1472"/>
      <w:r w:rsidRPr="003C7C55">
        <w:rPr>
          <w:lang w:val="es-ES" w:eastAsia="en-US"/>
        </w:rPr>
        <w:tab/>
      </w:r>
      <w:r w:rsidR="004E3FF9" w:rsidRPr="003C7C55">
        <w:rPr>
          <w:lang w:val="es-ES" w:eastAsia="en-US"/>
        </w:rPr>
        <w:t>c)</w:t>
      </w:r>
      <w:r w:rsidR="004E3FF9" w:rsidRPr="003C7C55">
        <w:rPr>
          <w:lang w:val="es-ES" w:eastAsia="en-US"/>
        </w:rPr>
        <w:tab/>
        <w:t>La concentración de iniciativas para el empoderamiento económico de la mujer relacionadas con su participación en las microempresas, y su alcance limitado</w:t>
      </w:r>
      <w:r w:rsidR="0039380A" w:rsidRPr="003C7C55">
        <w:rPr>
          <w:lang w:val="es-ES" w:eastAsia="en-US"/>
        </w:rPr>
        <w:t>.</w:t>
      </w:r>
      <w:bookmarkEnd w:id="135"/>
    </w:p>
    <w:p w14:paraId="52B281C0"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136" w:name="bookmark_1473"/>
      <w:r w:rsidRPr="003C7C55">
        <w:rPr>
          <w:b/>
          <w:szCs w:val="22"/>
          <w:lang w:val="es-ES" w:eastAsia="en-US"/>
        </w:rPr>
        <w:t>El Comité recomienda al Estado parte que:</w:t>
      </w:r>
      <w:bookmarkEnd w:id="136"/>
    </w:p>
    <w:p w14:paraId="25288F79" w14:textId="77777777" w:rsidR="004E3FF9" w:rsidRPr="003C7C55" w:rsidRDefault="00C6483A" w:rsidP="00C6483A">
      <w:pPr>
        <w:pStyle w:val="SingleTxt"/>
        <w:rPr>
          <w:lang w:val="es-ES" w:eastAsia="en-US"/>
        </w:rPr>
      </w:pPr>
      <w:bookmarkStart w:id="137" w:name="bookmark_1474"/>
      <w:r w:rsidRPr="003C7C55">
        <w:rPr>
          <w:lang w:val="es-ES" w:eastAsia="en-US"/>
        </w:rPr>
        <w:tab/>
      </w:r>
      <w:r w:rsidR="004E3FF9" w:rsidRPr="003C7C55">
        <w:rPr>
          <w:lang w:val="es-ES" w:eastAsia="en-US"/>
        </w:rPr>
        <w:t>a)</w:t>
      </w:r>
      <w:r w:rsidR="004E3FF9" w:rsidRPr="003C7C55">
        <w:rPr>
          <w:lang w:val="es-ES" w:eastAsia="en-US"/>
        </w:rPr>
        <w:tab/>
      </w:r>
      <w:r w:rsidR="004E3FF9" w:rsidRPr="003C7C55">
        <w:rPr>
          <w:b/>
          <w:lang w:val="es-ES" w:eastAsia="en-US"/>
        </w:rPr>
        <w:t>Revise la estrategia nacional para la inclusión financiera a fin de que incorpore una perspectiva de género;</w:t>
      </w:r>
      <w:bookmarkEnd w:id="137"/>
    </w:p>
    <w:p w14:paraId="2014DDF1" w14:textId="77777777" w:rsidR="004E3FF9" w:rsidRPr="003C7C55" w:rsidRDefault="00C6483A" w:rsidP="00C6483A">
      <w:pPr>
        <w:pStyle w:val="SingleTxt"/>
        <w:rPr>
          <w:lang w:val="es-ES" w:eastAsia="en-US"/>
        </w:rPr>
      </w:pPr>
      <w:bookmarkStart w:id="138" w:name="bookmark_1475"/>
      <w:r w:rsidRPr="003C7C55">
        <w:rPr>
          <w:lang w:val="es-ES" w:eastAsia="en-US"/>
        </w:rPr>
        <w:tab/>
      </w:r>
      <w:r w:rsidR="004E3FF9" w:rsidRPr="003C7C55">
        <w:rPr>
          <w:lang w:val="es-ES" w:eastAsia="en-US"/>
        </w:rPr>
        <w:t>b)</w:t>
      </w:r>
      <w:r w:rsidR="004E3FF9" w:rsidRPr="003C7C55">
        <w:rPr>
          <w:lang w:val="es-ES" w:eastAsia="en-US"/>
        </w:rPr>
        <w:tab/>
      </w:r>
      <w:r w:rsidR="004E3FF9" w:rsidRPr="003C7C55">
        <w:rPr>
          <w:b/>
          <w:lang w:val="es-ES" w:eastAsia="en-US"/>
        </w:rPr>
        <w:t>Mejore el acceso de las mujeres al crédito financiero a través de medidas de apoyo para su registro y para la expedición de certificados de nacimiento y documentos de identidad;</w:t>
      </w:r>
      <w:bookmarkEnd w:id="138"/>
    </w:p>
    <w:p w14:paraId="00FD1049" w14:textId="07C47739" w:rsidR="0039380A" w:rsidRPr="003C7C55" w:rsidRDefault="00C6483A" w:rsidP="00C6483A">
      <w:pPr>
        <w:pStyle w:val="SingleTxt"/>
        <w:rPr>
          <w:lang w:val="es-ES" w:eastAsia="en-US"/>
        </w:rPr>
      </w:pPr>
      <w:bookmarkStart w:id="139" w:name="bookmark_1476"/>
      <w:r w:rsidRPr="003C7C55">
        <w:rPr>
          <w:lang w:val="es-ES" w:eastAsia="en-US"/>
        </w:rPr>
        <w:tab/>
      </w:r>
      <w:r w:rsidR="004E3FF9" w:rsidRPr="003C7C55">
        <w:rPr>
          <w:lang w:val="es-ES" w:eastAsia="en-US"/>
        </w:rPr>
        <w:t>c)</w:t>
      </w:r>
      <w:r w:rsidR="004E3FF9" w:rsidRPr="003C7C55">
        <w:rPr>
          <w:lang w:val="es-ES" w:eastAsia="en-US"/>
        </w:rPr>
        <w:tab/>
      </w:r>
      <w:r w:rsidR="004E3FF9" w:rsidRPr="003C7C55">
        <w:rPr>
          <w:b/>
          <w:lang w:val="es-ES" w:eastAsia="en-US"/>
        </w:rPr>
        <w:t>Amplíe el alcance de las medidas específicas, como planes especiales de crédito con intereses bajos, asistencia técnica y asesoramiento, y promueva las actividades empresariales de las mujeres en las pequeñas, medianas y grandes empresas, en todas las regiones del Estado parte, en particular en las</w:t>
      </w:r>
      <w:r w:rsidR="0039380A" w:rsidRPr="003C7C55">
        <w:rPr>
          <w:b/>
          <w:lang w:val="es-ES" w:eastAsia="en-US"/>
        </w:rPr>
        <w:t xml:space="preserve"> </w:t>
      </w:r>
      <w:r w:rsidR="004E3FF9" w:rsidRPr="003C7C55">
        <w:rPr>
          <w:b/>
          <w:lang w:val="es-ES" w:eastAsia="en-US"/>
        </w:rPr>
        <w:t>zonas rurales</w:t>
      </w:r>
      <w:r w:rsidR="0039380A" w:rsidRPr="003C7C55">
        <w:rPr>
          <w:b/>
          <w:lang w:val="es-ES" w:eastAsia="en-US"/>
        </w:rPr>
        <w:t>.</w:t>
      </w:r>
      <w:bookmarkEnd w:id="139"/>
    </w:p>
    <w:p w14:paraId="1C35C23A" w14:textId="77777777" w:rsidR="00DF321C" w:rsidRPr="003C7C55" w:rsidRDefault="00DF321C" w:rsidP="00DF321C">
      <w:pPr>
        <w:pStyle w:val="SingleTxt"/>
        <w:spacing w:after="0" w:line="120" w:lineRule="exact"/>
        <w:rPr>
          <w:sz w:val="10"/>
          <w:szCs w:val="10"/>
          <w:lang w:val="es-ES"/>
        </w:rPr>
      </w:pPr>
      <w:bookmarkStart w:id="140" w:name="bookmark_1477"/>
    </w:p>
    <w:p w14:paraId="49A20D38" w14:textId="77777777"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Mujeres rurales y mujeres indígenas</w:t>
      </w:r>
      <w:bookmarkEnd w:id="140"/>
    </w:p>
    <w:p w14:paraId="68E209EA" w14:textId="77777777" w:rsidR="00B64BBF" w:rsidRPr="003C7C55" w:rsidRDefault="00B64BBF" w:rsidP="00B64BBF">
      <w:pPr>
        <w:pStyle w:val="SingleTxt"/>
        <w:spacing w:after="0" w:line="120" w:lineRule="exact"/>
        <w:rPr>
          <w:sz w:val="10"/>
          <w:szCs w:val="10"/>
          <w:lang w:val="es-ES"/>
        </w:rPr>
      </w:pPr>
    </w:p>
    <w:p w14:paraId="42A3376A" w14:textId="55DDB4CD" w:rsidR="004E3FF9" w:rsidRPr="003C7C55" w:rsidRDefault="004E3FF9" w:rsidP="009F6113">
      <w:pPr>
        <w:pStyle w:val="SingleTxt"/>
        <w:numPr>
          <w:ilvl w:val="0"/>
          <w:numId w:val="5"/>
        </w:numPr>
        <w:tabs>
          <w:tab w:val="num" w:pos="1742"/>
        </w:tabs>
        <w:ind w:left="1267" w:firstLine="0"/>
        <w:rPr>
          <w:szCs w:val="22"/>
          <w:lang w:val="es-ES" w:eastAsia="en-US"/>
        </w:rPr>
      </w:pPr>
      <w:bookmarkStart w:id="141" w:name="bookmark_1478"/>
      <w:r w:rsidRPr="003C7C55">
        <w:rPr>
          <w:szCs w:val="22"/>
          <w:lang w:val="es-ES" w:eastAsia="en-US"/>
        </w:rPr>
        <w:t>El Comité acoge con satisfacción la creación de la Organización Nacional de Pueblos Indígenas, el censo de las comunidades indígenas en</w:t>
      </w:r>
      <w:r w:rsidR="0039380A" w:rsidRPr="003C7C55">
        <w:rPr>
          <w:szCs w:val="22"/>
          <w:lang w:val="es-ES" w:eastAsia="en-US"/>
        </w:rPr>
        <w:t xml:space="preserve"> 2012 </w:t>
      </w:r>
      <w:r w:rsidRPr="003C7C55">
        <w:rPr>
          <w:szCs w:val="22"/>
          <w:lang w:val="es-ES" w:eastAsia="en-US"/>
        </w:rPr>
        <w:t>y la aprobación de legislación sobre las políticas públicas relativas a las mujeres de las zonas rurales</w:t>
      </w:r>
      <w:r w:rsidR="0039380A" w:rsidRPr="003C7C55">
        <w:rPr>
          <w:szCs w:val="22"/>
          <w:lang w:val="es-ES" w:eastAsia="en-US"/>
        </w:rPr>
        <w:t>.</w:t>
      </w:r>
      <w:r w:rsidRPr="003C7C55">
        <w:rPr>
          <w:szCs w:val="22"/>
          <w:lang w:val="es-ES" w:eastAsia="en-US"/>
        </w:rPr>
        <w:t xml:space="preserve"> Sin embargo, le preocupa el hecho de que las mujeres de las zonas rurales, en particular las de las comunidades aisladas, entre las que se incluyen las mujeres indígenas, sigan siendo objeto de formas interrelacionadas de discriminación, además de que:</w:t>
      </w:r>
      <w:bookmarkEnd w:id="141"/>
    </w:p>
    <w:p w14:paraId="0A91BC72" w14:textId="77777777" w:rsidR="004E3FF9" w:rsidRPr="003C7C55" w:rsidRDefault="0087185F" w:rsidP="0087185F">
      <w:pPr>
        <w:pStyle w:val="SingleTxt"/>
        <w:rPr>
          <w:lang w:val="es-ES" w:eastAsia="en-US"/>
        </w:rPr>
      </w:pPr>
      <w:bookmarkStart w:id="142" w:name="bookmark_1479"/>
      <w:r w:rsidRPr="003C7C55">
        <w:rPr>
          <w:lang w:val="es-ES" w:eastAsia="en-US"/>
        </w:rPr>
        <w:tab/>
        <w:t>a)</w:t>
      </w:r>
      <w:r w:rsidRPr="003C7C55">
        <w:rPr>
          <w:lang w:val="es-ES" w:eastAsia="en-US"/>
        </w:rPr>
        <w:tab/>
      </w:r>
      <w:r w:rsidR="004E3FF9" w:rsidRPr="003C7C55">
        <w:rPr>
          <w:lang w:val="es-ES" w:eastAsia="en-US"/>
        </w:rPr>
        <w:t>Se ven afectadas de manera desproporcionada por la pobreza, especialmente en la región del Chaco, y se enfrentan a obstáculos en el ejercicio de sus derechos relativos a la atención sanitaria, la educación y las oportunidades de empleo en el sector formal, lo que aumenta su vulnerabilidad ante la explotación laboral y la trata de personas;</w:t>
      </w:r>
      <w:bookmarkEnd w:id="142"/>
    </w:p>
    <w:p w14:paraId="13F71A36" w14:textId="77777777" w:rsidR="004E3FF9" w:rsidRPr="003C7C55" w:rsidRDefault="0087185F" w:rsidP="0087185F">
      <w:pPr>
        <w:pStyle w:val="SingleTxt"/>
        <w:rPr>
          <w:lang w:val="es-ES" w:eastAsia="en-US"/>
        </w:rPr>
      </w:pPr>
      <w:bookmarkStart w:id="143" w:name="bookmark_1480"/>
      <w:r w:rsidRPr="003C7C55">
        <w:rPr>
          <w:lang w:val="es-ES" w:eastAsia="en-US"/>
        </w:rPr>
        <w:tab/>
        <w:t>b)</w:t>
      </w:r>
      <w:r w:rsidRPr="003C7C55">
        <w:rPr>
          <w:lang w:val="es-ES" w:eastAsia="en-US"/>
        </w:rPr>
        <w:tab/>
      </w:r>
      <w:r w:rsidR="004E3FF9" w:rsidRPr="003C7C55">
        <w:rPr>
          <w:lang w:val="es-ES" w:eastAsia="en-US"/>
        </w:rPr>
        <w:t>Tienen un acceso limitado a los títulos de propiedad de la tierra, incluidas las tierras en las que trabajan, debido a la falta de documentos de identidad;</w:t>
      </w:r>
      <w:bookmarkEnd w:id="143"/>
    </w:p>
    <w:p w14:paraId="09B55752" w14:textId="77777777" w:rsidR="004E3FF9" w:rsidRPr="003C7C55" w:rsidRDefault="0087185F" w:rsidP="0087185F">
      <w:pPr>
        <w:pStyle w:val="SingleTxt"/>
        <w:rPr>
          <w:lang w:val="es-ES" w:eastAsia="en-US"/>
        </w:rPr>
      </w:pPr>
      <w:bookmarkStart w:id="144" w:name="bookmark_1481"/>
      <w:r w:rsidRPr="003C7C55">
        <w:rPr>
          <w:lang w:val="es-ES" w:eastAsia="en-US"/>
        </w:rPr>
        <w:tab/>
        <w:t>c)</w:t>
      </w:r>
      <w:r w:rsidRPr="003C7C55">
        <w:rPr>
          <w:lang w:val="es-ES" w:eastAsia="en-US"/>
        </w:rPr>
        <w:tab/>
      </w:r>
      <w:r w:rsidR="004E3FF9" w:rsidRPr="003C7C55">
        <w:rPr>
          <w:lang w:val="es-ES" w:eastAsia="en-US"/>
        </w:rPr>
        <w:t>Son vulnerables a la adquisición de tierras, en particular de las tierras tradicionales indígenas, por parte de proyectos agroindustriales y otros proyectos empresariales;</w:t>
      </w:r>
      <w:bookmarkEnd w:id="144"/>
    </w:p>
    <w:p w14:paraId="0CE3A621" w14:textId="77777777" w:rsidR="004E3FF9" w:rsidRPr="003C7C55" w:rsidRDefault="0087185F" w:rsidP="0087185F">
      <w:pPr>
        <w:pStyle w:val="SingleTxt"/>
        <w:rPr>
          <w:lang w:val="es-ES" w:eastAsia="en-US"/>
        </w:rPr>
      </w:pPr>
      <w:bookmarkStart w:id="145" w:name="bookmark_1482"/>
      <w:r w:rsidRPr="003C7C55">
        <w:rPr>
          <w:lang w:val="es-ES" w:eastAsia="en-US"/>
        </w:rPr>
        <w:tab/>
        <w:t>d)</w:t>
      </w:r>
      <w:r w:rsidRPr="003C7C55">
        <w:rPr>
          <w:lang w:val="es-ES" w:eastAsia="en-US"/>
        </w:rPr>
        <w:tab/>
      </w:r>
      <w:r w:rsidR="004E3FF9" w:rsidRPr="003C7C55">
        <w:rPr>
          <w:lang w:val="es-ES" w:eastAsia="en-US"/>
        </w:rPr>
        <w:t>Se ven especialmente afectadas por la ausencia de mecanismos adecuados para garantizar su consulta previa en relación con los medios de subsistencia alternativos y la indemnización en los casos de adquisición de tierras;</w:t>
      </w:r>
      <w:bookmarkEnd w:id="145"/>
    </w:p>
    <w:p w14:paraId="14690274" w14:textId="6E535D37" w:rsidR="004E3FF9" w:rsidRPr="003C7C55" w:rsidRDefault="0087185F" w:rsidP="0087185F">
      <w:pPr>
        <w:pStyle w:val="SingleTxt"/>
        <w:rPr>
          <w:lang w:val="es-ES" w:eastAsia="en-US"/>
        </w:rPr>
      </w:pPr>
      <w:bookmarkStart w:id="146" w:name="bookmark_1483"/>
      <w:r w:rsidRPr="003C7C55">
        <w:rPr>
          <w:lang w:val="es-ES" w:eastAsia="en-US"/>
        </w:rPr>
        <w:tab/>
        <w:t>e)</w:t>
      </w:r>
      <w:r w:rsidRPr="003C7C55">
        <w:rPr>
          <w:lang w:val="es-ES" w:eastAsia="en-US"/>
        </w:rPr>
        <w:tab/>
      </w:r>
      <w:r w:rsidR="004E3FF9" w:rsidRPr="003C7C55">
        <w:rPr>
          <w:lang w:val="es-ES" w:eastAsia="en-US"/>
        </w:rPr>
        <w:t>Sufren los efectos negativos del uso indebido de productos agrotóxicos en la agricultura</w:t>
      </w:r>
      <w:r w:rsidR="0039380A" w:rsidRPr="003C7C55">
        <w:rPr>
          <w:lang w:val="es-ES" w:eastAsia="en-US"/>
        </w:rPr>
        <w:t>.</w:t>
      </w:r>
      <w:bookmarkEnd w:id="146"/>
    </w:p>
    <w:p w14:paraId="1B8FD40A" w14:textId="75CC8276" w:rsidR="004E3FF9" w:rsidRPr="003C7C55" w:rsidRDefault="004E3FF9" w:rsidP="009F6113">
      <w:pPr>
        <w:pStyle w:val="SingleTxt"/>
        <w:numPr>
          <w:ilvl w:val="0"/>
          <w:numId w:val="5"/>
        </w:numPr>
        <w:tabs>
          <w:tab w:val="num" w:pos="1742"/>
        </w:tabs>
        <w:ind w:left="1267" w:firstLine="0"/>
        <w:rPr>
          <w:b/>
          <w:szCs w:val="22"/>
          <w:lang w:val="es-ES" w:eastAsia="en-US"/>
        </w:rPr>
      </w:pPr>
      <w:bookmarkStart w:id="147" w:name="bookmark_1484"/>
      <w:r w:rsidRPr="003C7C55">
        <w:rPr>
          <w:b/>
          <w:szCs w:val="22"/>
          <w:lang w:val="es-ES" w:eastAsia="en-US"/>
        </w:rPr>
        <w:t>El Comité, en consonancia con su recomendación general núm</w:t>
      </w:r>
      <w:r w:rsidR="0039380A" w:rsidRPr="003C7C55">
        <w:rPr>
          <w:b/>
          <w:szCs w:val="22"/>
          <w:lang w:val="es-ES" w:eastAsia="en-US"/>
        </w:rPr>
        <w:t xml:space="preserve">. 34 </w:t>
      </w:r>
      <w:r w:rsidRPr="003C7C55">
        <w:rPr>
          <w:b/>
          <w:szCs w:val="22"/>
          <w:lang w:val="es-ES" w:eastAsia="en-US"/>
        </w:rPr>
        <w:t>(</w:t>
      </w:r>
      <w:r w:rsidR="0039380A" w:rsidRPr="003C7C55">
        <w:rPr>
          <w:b/>
          <w:szCs w:val="22"/>
          <w:lang w:val="es-ES" w:eastAsia="en-US"/>
        </w:rPr>
        <w:t>2016</w:t>
      </w:r>
      <w:r w:rsidRPr="003C7C55">
        <w:rPr>
          <w:b/>
          <w:szCs w:val="22"/>
          <w:lang w:val="es-ES" w:eastAsia="en-US"/>
        </w:rPr>
        <w:t>) sobre los derechos de las mujeres rurales, recomienda al Estado parte que:</w:t>
      </w:r>
      <w:bookmarkEnd w:id="147"/>
    </w:p>
    <w:p w14:paraId="77C64A70" w14:textId="77777777" w:rsidR="004E3FF9" w:rsidRPr="003C7C55" w:rsidRDefault="003C15C1" w:rsidP="003C15C1">
      <w:pPr>
        <w:pStyle w:val="SingleTxt"/>
        <w:rPr>
          <w:lang w:val="es-ES" w:eastAsia="en-US"/>
        </w:rPr>
      </w:pPr>
      <w:bookmarkStart w:id="148" w:name="bookmark_1485"/>
      <w:r w:rsidRPr="003C7C55">
        <w:rPr>
          <w:lang w:val="es-ES" w:eastAsia="en-US"/>
        </w:rPr>
        <w:tab/>
        <w:t>a)</w:t>
      </w:r>
      <w:r w:rsidRPr="003C7C55">
        <w:rPr>
          <w:lang w:val="es-ES" w:eastAsia="en-US"/>
        </w:rPr>
        <w:tab/>
      </w:r>
      <w:r w:rsidR="004E3FF9" w:rsidRPr="003C7C55">
        <w:rPr>
          <w:b/>
          <w:lang w:val="es-ES" w:eastAsia="en-US"/>
        </w:rPr>
        <w:t>Incremente los recursos financieros, humanos y técnicos asignados para la prestación de servicios de salud y educación en las zonas rurales y para las mujeres indígenas, en particular en la región del Chaco, y adopte medidas específicas para alcanzar la igualdad de oportunidades de facto para las mujeres indígenas y rurales en el mercado de trabajo;</w:t>
      </w:r>
      <w:bookmarkEnd w:id="148"/>
    </w:p>
    <w:p w14:paraId="0D229D7B" w14:textId="77777777" w:rsidR="004E3FF9" w:rsidRPr="003C7C55" w:rsidRDefault="003C15C1" w:rsidP="003C15C1">
      <w:pPr>
        <w:pStyle w:val="SingleTxt"/>
        <w:rPr>
          <w:lang w:val="es-ES" w:eastAsia="en-US"/>
        </w:rPr>
      </w:pPr>
      <w:bookmarkStart w:id="149" w:name="bookmark_1486"/>
      <w:r w:rsidRPr="003C7C55">
        <w:rPr>
          <w:lang w:val="es-ES" w:eastAsia="en-US"/>
        </w:rPr>
        <w:tab/>
        <w:t>b)</w:t>
      </w:r>
      <w:r w:rsidRPr="003C7C55">
        <w:rPr>
          <w:lang w:val="es-ES" w:eastAsia="en-US"/>
        </w:rPr>
        <w:tab/>
      </w:r>
      <w:r w:rsidR="004E3FF9" w:rsidRPr="003C7C55">
        <w:rPr>
          <w:b/>
          <w:lang w:val="es-ES" w:eastAsia="en-US"/>
        </w:rPr>
        <w:t>Adopte medidas específicas para facilitar el acceso de las mujeres indígenas y rurales a los títulos de propiedad de la tierra, entre otras cosas facilitándoles el acceso a los documentos de identidad;</w:t>
      </w:r>
      <w:bookmarkEnd w:id="149"/>
    </w:p>
    <w:p w14:paraId="040035A7" w14:textId="77777777" w:rsidR="004E3FF9" w:rsidRPr="003C7C55" w:rsidRDefault="003C15C1" w:rsidP="003C15C1">
      <w:pPr>
        <w:pStyle w:val="SingleTxt"/>
        <w:rPr>
          <w:lang w:val="es-ES" w:eastAsia="en-US"/>
        </w:rPr>
      </w:pPr>
      <w:bookmarkStart w:id="150" w:name="bookmark_1487"/>
      <w:r w:rsidRPr="003C7C55">
        <w:rPr>
          <w:lang w:val="es-ES" w:eastAsia="en-US"/>
        </w:rPr>
        <w:tab/>
        <w:t>c)</w:t>
      </w:r>
      <w:r w:rsidRPr="003C7C55">
        <w:rPr>
          <w:lang w:val="es-ES" w:eastAsia="en-US"/>
        </w:rPr>
        <w:tab/>
      </w:r>
      <w:r w:rsidR="004E3FF9" w:rsidRPr="003C7C55">
        <w:rPr>
          <w:b/>
          <w:lang w:val="es-ES" w:eastAsia="en-US"/>
        </w:rPr>
        <w:t>Establezca un marco jurídico para garantizar que los proyectos de desarrollo a gran escala, los proyectos agroindustriales y otros proyectos empresariales se ejecuten únicamente después de que se haya realizado una evaluación de las consecuencias en función del género y de que se haya consultado previamente a las mujeres indígenas y rurales afectadas con respecto a los medios de subsistencia alternativos y las indemnizaciones adecuadas;</w:t>
      </w:r>
      <w:bookmarkEnd w:id="150"/>
    </w:p>
    <w:p w14:paraId="17170377" w14:textId="37F07C06" w:rsidR="004E3FF9" w:rsidRPr="003C7C55" w:rsidRDefault="003C15C1" w:rsidP="003C15C1">
      <w:pPr>
        <w:pStyle w:val="SingleTxt"/>
        <w:rPr>
          <w:lang w:val="es-ES" w:eastAsia="en-US"/>
        </w:rPr>
      </w:pPr>
      <w:bookmarkStart w:id="151" w:name="bookmark_1488"/>
      <w:r w:rsidRPr="003C7C55">
        <w:rPr>
          <w:lang w:val="es-ES" w:eastAsia="en-US"/>
        </w:rPr>
        <w:tab/>
        <w:t>d)</w:t>
      </w:r>
      <w:r w:rsidRPr="003C7C55">
        <w:rPr>
          <w:lang w:val="es-ES" w:eastAsia="en-US"/>
        </w:rPr>
        <w:tab/>
      </w:r>
      <w:r w:rsidR="004E3FF9" w:rsidRPr="003C7C55">
        <w:rPr>
          <w:b/>
          <w:lang w:val="es-ES" w:eastAsia="en-US"/>
        </w:rPr>
        <w:t>Aplique la recomendación anterior del Comité (</w:t>
      </w:r>
      <w:hyperlink r:id="rId32" w:history="1">
        <w:r w:rsidR="004E3FF9" w:rsidRPr="003C7C55">
          <w:rPr>
            <w:rStyle w:val="Hipervnculo"/>
            <w:b/>
            <w:lang w:val="es-ES" w:eastAsia="en-US"/>
          </w:rPr>
          <w:t>CEDAW/C/PRY/CO/</w:t>
        </w:r>
        <w:r w:rsidR="0039380A" w:rsidRPr="003C7C55">
          <w:rPr>
            <w:rStyle w:val="Hipervnculo"/>
            <w:b/>
            <w:lang w:val="es-ES" w:eastAsia="en-US"/>
          </w:rPr>
          <w:t>6</w:t>
        </w:r>
      </w:hyperlink>
      <w:r w:rsidR="004E3FF9" w:rsidRPr="003C7C55">
        <w:rPr>
          <w:b/>
          <w:lang w:val="es-ES" w:eastAsia="en-US"/>
        </w:rPr>
        <w:t>, párr</w:t>
      </w:r>
      <w:r w:rsidR="0039380A" w:rsidRPr="003C7C55">
        <w:rPr>
          <w:b/>
          <w:lang w:val="es-ES" w:eastAsia="en-US"/>
        </w:rPr>
        <w:t>. 33</w:t>
      </w:r>
      <w:r w:rsidR="004E3FF9" w:rsidRPr="003C7C55">
        <w:rPr>
          <w:b/>
          <w:lang w:val="es-ES" w:eastAsia="en-US"/>
        </w:rPr>
        <w:t>) para llevar a cabo un estudio integral sobre las probables causas negativas del uso indebido de productos agrotóxicos en la agricultura, a fin de aplicar las medidas necesarias para erradicar su impacto sobre la salud de las mujeres y sus hijos</w:t>
      </w:r>
      <w:r w:rsidR="0039380A" w:rsidRPr="003C7C55">
        <w:rPr>
          <w:b/>
          <w:lang w:val="es-ES" w:eastAsia="en-US"/>
        </w:rPr>
        <w:t>.</w:t>
      </w:r>
      <w:bookmarkEnd w:id="151"/>
    </w:p>
    <w:p w14:paraId="68EC9DC2" w14:textId="77777777" w:rsidR="00B64BBF" w:rsidRPr="003C7C55" w:rsidRDefault="00B64BBF" w:rsidP="00B64BBF">
      <w:pPr>
        <w:pStyle w:val="SingleTxt"/>
        <w:spacing w:after="0" w:line="120" w:lineRule="exact"/>
        <w:rPr>
          <w:sz w:val="10"/>
          <w:szCs w:val="10"/>
          <w:lang w:val="es-ES"/>
        </w:rPr>
      </w:pPr>
      <w:bookmarkStart w:id="152" w:name="bookmark_1489"/>
    </w:p>
    <w:p w14:paraId="676AD1D4" w14:textId="77777777"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Adolescentes</w:t>
      </w:r>
      <w:bookmarkEnd w:id="152"/>
    </w:p>
    <w:p w14:paraId="08009CDE" w14:textId="77777777" w:rsidR="00B64BBF" w:rsidRPr="003C7C55" w:rsidRDefault="00B64BBF" w:rsidP="00B64BBF">
      <w:pPr>
        <w:pStyle w:val="SingleTxt"/>
        <w:spacing w:after="0" w:line="120" w:lineRule="exact"/>
        <w:rPr>
          <w:sz w:val="10"/>
          <w:szCs w:val="10"/>
          <w:lang w:val="es-ES"/>
        </w:rPr>
      </w:pPr>
    </w:p>
    <w:p w14:paraId="1A8EA4E0" w14:textId="3BB5F1BE" w:rsidR="004E3FF9" w:rsidRPr="003C7C55" w:rsidRDefault="004E3FF9" w:rsidP="009F6113">
      <w:pPr>
        <w:pStyle w:val="SingleTxt"/>
        <w:numPr>
          <w:ilvl w:val="0"/>
          <w:numId w:val="5"/>
        </w:numPr>
        <w:tabs>
          <w:tab w:val="num" w:pos="1742"/>
        </w:tabs>
        <w:ind w:left="1267" w:firstLine="0"/>
        <w:rPr>
          <w:szCs w:val="22"/>
          <w:lang w:val="es-ES" w:eastAsia="en-US"/>
        </w:rPr>
      </w:pPr>
      <w:bookmarkStart w:id="153" w:name="bookmark_1490"/>
      <w:r w:rsidRPr="003C7C55">
        <w:rPr>
          <w:szCs w:val="22"/>
          <w:lang w:val="es-ES" w:eastAsia="en-US"/>
        </w:rPr>
        <w:t>El Comité acoge con beneplácito la aprobación de un plan nacional de salud de los adolescentes, que abarca el período</w:t>
      </w:r>
      <w:r w:rsidR="0039380A" w:rsidRPr="003C7C55">
        <w:rPr>
          <w:szCs w:val="22"/>
          <w:lang w:val="es-ES" w:eastAsia="en-US"/>
        </w:rPr>
        <w:t xml:space="preserve"> 2016</w:t>
      </w:r>
      <w:r w:rsidRPr="003C7C55">
        <w:rPr>
          <w:szCs w:val="22"/>
          <w:lang w:val="es-ES" w:eastAsia="en-US"/>
        </w:rPr>
        <w:t>–</w:t>
      </w:r>
      <w:r w:rsidR="0039380A" w:rsidRPr="003C7C55">
        <w:rPr>
          <w:szCs w:val="22"/>
          <w:lang w:val="es-ES" w:eastAsia="en-US"/>
        </w:rPr>
        <w:t>2021</w:t>
      </w:r>
      <w:r w:rsidRPr="003C7C55">
        <w:rPr>
          <w:szCs w:val="22"/>
          <w:lang w:val="es-ES" w:eastAsia="en-US"/>
        </w:rPr>
        <w:t>, y de leyes para combatir el acoso en las instituciones educativas públicas y privadas</w:t>
      </w:r>
      <w:r w:rsidR="0039380A" w:rsidRPr="003C7C55">
        <w:rPr>
          <w:szCs w:val="22"/>
          <w:lang w:val="es-ES" w:eastAsia="en-US"/>
        </w:rPr>
        <w:t>.</w:t>
      </w:r>
      <w:r w:rsidRPr="003C7C55">
        <w:rPr>
          <w:szCs w:val="22"/>
          <w:lang w:val="es-ES" w:eastAsia="en-US"/>
        </w:rPr>
        <w:t xml:space="preserve"> También celebra las iniciativas de sensibilización sobre la violencia contra la mujer en los entornos educativos, la consiguiente revisión de los libros de texto y los planes de crear procedimientos para investigar los casos de violencia doméstica o por razón de género</w:t>
      </w:r>
      <w:r w:rsidR="0039380A" w:rsidRPr="003C7C55">
        <w:rPr>
          <w:szCs w:val="22"/>
          <w:lang w:val="es-ES" w:eastAsia="en-US"/>
        </w:rPr>
        <w:t>.</w:t>
      </w:r>
      <w:r w:rsidRPr="003C7C55">
        <w:rPr>
          <w:szCs w:val="22"/>
          <w:lang w:val="es-ES" w:eastAsia="en-US"/>
        </w:rPr>
        <w:t xml:space="preserve"> Sin embargo, al Comité le preocupa el efecto negativo que puedan tener</w:t>
      </w:r>
      <w:r w:rsidR="0039380A" w:rsidRPr="003C7C55">
        <w:rPr>
          <w:szCs w:val="22"/>
          <w:lang w:val="es-ES" w:eastAsia="en-US"/>
        </w:rPr>
        <w:t xml:space="preserve"> </w:t>
      </w:r>
      <w:r w:rsidRPr="003C7C55">
        <w:rPr>
          <w:szCs w:val="22"/>
          <w:lang w:val="es-ES" w:eastAsia="en-US"/>
        </w:rPr>
        <w:t>sobre el desarrollo de las adolescentes, en concreto sobre su salud física y mental, su educación y sus futuras oportunidades de obtener un trabajo decente, los siguientes factores:</w:t>
      </w:r>
      <w:bookmarkEnd w:id="153"/>
    </w:p>
    <w:p w14:paraId="6D57F000" w14:textId="701A6808" w:rsidR="004E3FF9" w:rsidRPr="003C7C55" w:rsidRDefault="009F4EB5" w:rsidP="009F4EB5">
      <w:pPr>
        <w:pStyle w:val="SingleTxt"/>
        <w:rPr>
          <w:lang w:val="es-ES" w:eastAsia="en-US"/>
        </w:rPr>
      </w:pPr>
      <w:bookmarkStart w:id="154" w:name="bookmark_1491"/>
      <w:r w:rsidRPr="003C7C55">
        <w:rPr>
          <w:lang w:val="es-ES" w:eastAsia="en-US"/>
        </w:rPr>
        <w:tab/>
        <w:t>a)</w:t>
      </w:r>
      <w:r w:rsidRPr="003C7C55">
        <w:rPr>
          <w:lang w:val="es-ES" w:eastAsia="en-US"/>
        </w:rPr>
        <w:tab/>
      </w:r>
      <w:r w:rsidR="004E3FF9" w:rsidRPr="003C7C55">
        <w:rPr>
          <w:lang w:val="es-ES" w:eastAsia="en-US"/>
        </w:rPr>
        <w:t>La elevada tasa de embarazos entre las niñas de edades comprendidas entre</w:t>
      </w:r>
      <w:r w:rsidR="0039380A" w:rsidRPr="003C7C55">
        <w:rPr>
          <w:lang w:val="es-ES" w:eastAsia="en-US"/>
        </w:rPr>
        <w:t xml:space="preserve"> 10 </w:t>
      </w:r>
      <w:r w:rsidR="004E3FF9" w:rsidRPr="003C7C55">
        <w:rPr>
          <w:lang w:val="es-ES" w:eastAsia="en-US"/>
        </w:rPr>
        <w:t>y</w:t>
      </w:r>
      <w:r w:rsidR="0039380A" w:rsidRPr="003C7C55">
        <w:rPr>
          <w:lang w:val="es-ES" w:eastAsia="en-US"/>
        </w:rPr>
        <w:t xml:space="preserve"> 19 </w:t>
      </w:r>
      <w:r w:rsidR="004E3FF9" w:rsidRPr="003C7C55">
        <w:rPr>
          <w:lang w:val="es-ES" w:eastAsia="en-US"/>
        </w:rPr>
        <w:t>años y la elevada tasa de mortalidad materna entre las niñas de edades comprendidas entre</w:t>
      </w:r>
      <w:r w:rsidR="0039380A" w:rsidRPr="003C7C55">
        <w:rPr>
          <w:lang w:val="es-ES" w:eastAsia="en-US"/>
        </w:rPr>
        <w:t xml:space="preserve"> 15 </w:t>
      </w:r>
      <w:r w:rsidR="004E3FF9" w:rsidRPr="003C7C55">
        <w:rPr>
          <w:lang w:val="es-ES" w:eastAsia="en-US"/>
        </w:rPr>
        <w:t>y</w:t>
      </w:r>
      <w:r w:rsidR="0039380A" w:rsidRPr="003C7C55">
        <w:rPr>
          <w:lang w:val="es-ES" w:eastAsia="en-US"/>
        </w:rPr>
        <w:t xml:space="preserve"> 19 </w:t>
      </w:r>
      <w:r w:rsidR="004E3FF9" w:rsidRPr="003C7C55">
        <w:rPr>
          <w:lang w:val="es-ES" w:eastAsia="en-US"/>
        </w:rPr>
        <w:t>años, como resultado de, entre otras cosas, los abortos en condiciones de riesgo;</w:t>
      </w:r>
      <w:bookmarkEnd w:id="154"/>
    </w:p>
    <w:p w14:paraId="619F2CE7" w14:textId="045A279D" w:rsidR="004E3FF9" w:rsidRPr="003C7C55" w:rsidRDefault="009F4EB5" w:rsidP="009F4EB5">
      <w:pPr>
        <w:pStyle w:val="SingleTxt"/>
        <w:rPr>
          <w:lang w:val="es-ES" w:eastAsia="en-US"/>
        </w:rPr>
      </w:pPr>
      <w:bookmarkStart w:id="155" w:name="bookmark_1492"/>
      <w:r w:rsidRPr="003C7C55">
        <w:rPr>
          <w:lang w:val="es-ES" w:eastAsia="en-US"/>
        </w:rPr>
        <w:tab/>
        <w:t>b)</w:t>
      </w:r>
      <w:r w:rsidRPr="003C7C55">
        <w:rPr>
          <w:lang w:val="es-ES" w:eastAsia="en-US"/>
        </w:rPr>
        <w:tab/>
      </w:r>
      <w:r w:rsidR="004E3FF9" w:rsidRPr="003C7C55">
        <w:rPr>
          <w:lang w:val="es-ES" w:eastAsia="en-US"/>
        </w:rPr>
        <w:t>Las elevadas tasas de violencia sexual contra las adolescentes y el presunto aumento de los embarazos precoces forzosos, en particular mediante el</w:t>
      </w:r>
      <w:r w:rsidR="0039380A" w:rsidRPr="003C7C55">
        <w:rPr>
          <w:lang w:val="es-ES" w:eastAsia="en-US"/>
        </w:rPr>
        <w:t xml:space="preserve"> </w:t>
      </w:r>
      <w:r w:rsidR="004E3FF9" w:rsidRPr="003C7C55">
        <w:rPr>
          <w:lang w:val="es-ES" w:eastAsia="en-US"/>
        </w:rPr>
        <w:t>incesto;</w:t>
      </w:r>
      <w:bookmarkEnd w:id="155"/>
    </w:p>
    <w:p w14:paraId="328A9254" w14:textId="54F93D3F" w:rsidR="004E3FF9" w:rsidRPr="003C7C55" w:rsidRDefault="009F4EB5" w:rsidP="009F4EB5">
      <w:pPr>
        <w:pStyle w:val="SingleTxt"/>
        <w:rPr>
          <w:lang w:val="es-ES" w:eastAsia="en-US"/>
        </w:rPr>
      </w:pPr>
      <w:bookmarkStart w:id="156" w:name="bookmark_1493"/>
      <w:r w:rsidRPr="003C7C55">
        <w:rPr>
          <w:lang w:val="es-ES" w:eastAsia="en-US"/>
        </w:rPr>
        <w:tab/>
        <w:t>c)</w:t>
      </w:r>
      <w:r w:rsidRPr="003C7C55">
        <w:rPr>
          <w:lang w:val="es-ES" w:eastAsia="en-US"/>
        </w:rPr>
        <w:tab/>
      </w:r>
      <w:r w:rsidR="004E3FF9" w:rsidRPr="003C7C55">
        <w:rPr>
          <w:lang w:val="es-ES" w:eastAsia="en-US"/>
        </w:rPr>
        <w:t>La falta de datos sobre las razones por las que las niñas abandonan la escuela, la presunta estigmatización de las niñas embarazadas en la escuela y la falta de guarderías y otras medidas de apoyo para facilitar la reintegración de las madres jóvenes en el sistema educativo</w:t>
      </w:r>
      <w:r w:rsidR="0039380A" w:rsidRPr="003C7C55">
        <w:rPr>
          <w:lang w:val="es-ES" w:eastAsia="en-US"/>
        </w:rPr>
        <w:t>.</w:t>
      </w:r>
      <w:bookmarkEnd w:id="156"/>
    </w:p>
    <w:p w14:paraId="091C7663" w14:textId="77777777" w:rsidR="004E3FF9" w:rsidRPr="003C7C55" w:rsidRDefault="004E3FF9" w:rsidP="009F6113">
      <w:pPr>
        <w:pStyle w:val="SingleTxt"/>
        <w:numPr>
          <w:ilvl w:val="0"/>
          <w:numId w:val="5"/>
        </w:numPr>
        <w:tabs>
          <w:tab w:val="num" w:pos="1742"/>
        </w:tabs>
        <w:ind w:left="1267" w:firstLine="0"/>
        <w:rPr>
          <w:b/>
          <w:szCs w:val="22"/>
          <w:lang w:val="es-ES" w:eastAsia="en-US"/>
        </w:rPr>
      </w:pPr>
      <w:bookmarkStart w:id="157" w:name="bookmark_1494"/>
      <w:r w:rsidRPr="003C7C55">
        <w:rPr>
          <w:b/>
          <w:szCs w:val="22"/>
          <w:lang w:val="es-ES" w:eastAsia="en-US"/>
        </w:rPr>
        <w:t>El Comité recomienda al Estado parte que:</w:t>
      </w:r>
      <w:bookmarkEnd w:id="157"/>
    </w:p>
    <w:p w14:paraId="23F66D96" w14:textId="0DAE7CEC" w:rsidR="004E3FF9" w:rsidRPr="003C7C55" w:rsidRDefault="002E7762" w:rsidP="002E7762">
      <w:pPr>
        <w:pStyle w:val="SingleTxt"/>
        <w:rPr>
          <w:lang w:val="es-ES" w:eastAsia="en-US"/>
        </w:rPr>
      </w:pPr>
      <w:bookmarkStart w:id="158" w:name="bookmark_1495"/>
      <w:r w:rsidRPr="003C7C55">
        <w:rPr>
          <w:lang w:val="es-ES" w:eastAsia="en-US"/>
        </w:rPr>
        <w:tab/>
        <w:t>a)</w:t>
      </w:r>
      <w:r w:rsidRPr="003C7C55">
        <w:rPr>
          <w:lang w:val="es-ES" w:eastAsia="en-US"/>
        </w:rPr>
        <w:tab/>
      </w:r>
      <w:r w:rsidR="004E3FF9" w:rsidRPr="003C7C55">
        <w:rPr>
          <w:b/>
          <w:lang w:val="es-ES" w:eastAsia="en-US"/>
        </w:rPr>
        <w:t>Otorgue prioridad a la aplicación de la esfera estratégica número</w:t>
      </w:r>
      <w:r w:rsidR="0039380A" w:rsidRPr="003C7C55">
        <w:rPr>
          <w:b/>
          <w:lang w:val="es-ES" w:eastAsia="en-US"/>
        </w:rPr>
        <w:t xml:space="preserve"> 5 </w:t>
      </w:r>
      <w:r w:rsidR="004E3FF9" w:rsidRPr="003C7C55">
        <w:rPr>
          <w:b/>
          <w:lang w:val="es-ES" w:eastAsia="en-US"/>
        </w:rPr>
        <w:t>del plan nacional de salud de los adolescentes, refuerce las iniciativas destinadas a garantizar que adolescentes y jóvenes de ambos sexos sean debidamente informados acerca de su salud y sus derechos sexuales y reproductivos, en particular sobre la utilización de métodos anticonceptivos modernos, y refuerce las medidas destinadas a facilitar su acceso a métodos anticonceptivos asequibles y abortos sin riesgo;</w:t>
      </w:r>
      <w:bookmarkEnd w:id="158"/>
    </w:p>
    <w:p w14:paraId="3FD6E11E" w14:textId="77777777" w:rsidR="004E3FF9" w:rsidRPr="003C7C55" w:rsidRDefault="002E7762" w:rsidP="002E7762">
      <w:pPr>
        <w:pStyle w:val="SingleTxt"/>
        <w:rPr>
          <w:lang w:val="es-ES" w:eastAsia="en-US"/>
        </w:rPr>
      </w:pPr>
      <w:bookmarkStart w:id="159" w:name="bookmark_1496"/>
      <w:r w:rsidRPr="003C7C55">
        <w:rPr>
          <w:lang w:val="es-ES" w:eastAsia="en-US"/>
        </w:rPr>
        <w:tab/>
        <w:t>b)</w:t>
      </w:r>
      <w:r w:rsidRPr="003C7C55">
        <w:rPr>
          <w:lang w:val="es-ES" w:eastAsia="en-US"/>
        </w:rPr>
        <w:tab/>
      </w:r>
      <w:r w:rsidR="004E3FF9" w:rsidRPr="003C7C55">
        <w:rPr>
          <w:b/>
          <w:lang w:val="es-ES" w:eastAsia="en-US"/>
        </w:rPr>
        <w:t>Agilice el establecimiento de procedimientos para la investigación de la violencia doméstica por razón de género contra las adolescentes, proporcione capacitación obligatoria específica al personal de las fuerzas del orden y los miembros del poder judicial, así como a los profesionales de la salud, la educación y el trabajo social, sobre estos procedimientos, así como sobre la estricta aplicación de las disposiciones para enjuiciar y castigar adecuadamente los actos de violencia sexual contra las adolescentes, controlar periódicamente su aplicación y aplicar sanciones adecuadas en caso de incumplimiento de tal legislación;</w:t>
      </w:r>
      <w:bookmarkEnd w:id="159"/>
    </w:p>
    <w:p w14:paraId="31871CA2" w14:textId="707BD3ED" w:rsidR="004E3FF9" w:rsidRPr="003C7C55" w:rsidRDefault="002E7762" w:rsidP="002E7762">
      <w:pPr>
        <w:pStyle w:val="SingleTxt"/>
        <w:rPr>
          <w:lang w:val="es-ES" w:eastAsia="en-US"/>
        </w:rPr>
      </w:pPr>
      <w:bookmarkStart w:id="160" w:name="bookmark_1497"/>
      <w:r w:rsidRPr="003C7C55">
        <w:rPr>
          <w:lang w:val="es-ES" w:eastAsia="en-US"/>
        </w:rPr>
        <w:tab/>
        <w:t>c)</w:t>
      </w:r>
      <w:r w:rsidRPr="003C7C55">
        <w:rPr>
          <w:lang w:val="es-ES" w:eastAsia="en-US"/>
        </w:rPr>
        <w:tab/>
      </w:r>
      <w:r w:rsidR="004E3FF9" w:rsidRPr="003C7C55">
        <w:rPr>
          <w:b/>
          <w:lang w:val="es-ES" w:eastAsia="en-US"/>
        </w:rPr>
        <w:t>Reúna datos sobre las razones por las que las niñas abandonan la escuela, sensibilice a los alumnos, así como a los profesionales de la educación y la salud, sobre las disposiciones de la Ley núm</w:t>
      </w:r>
      <w:r w:rsidR="0039380A" w:rsidRPr="003C7C55">
        <w:rPr>
          <w:b/>
          <w:lang w:val="es-ES" w:eastAsia="en-US"/>
        </w:rPr>
        <w:t xml:space="preserve">. 4084 </w:t>
      </w:r>
      <w:r w:rsidR="004E3FF9" w:rsidRPr="003C7C55">
        <w:rPr>
          <w:b/>
          <w:lang w:val="es-ES" w:eastAsia="en-US"/>
        </w:rPr>
        <w:t>sobre la protección de las alumnas embarazadas y ponga en marcha su aplicación, proporcione servicios adecuados de guardería en los entornos educativos de todos los niveles y aborde los estereotipos negativos y las actitudes discriminatorias con respecto a la sexualidad de los adolescentes</w:t>
      </w:r>
      <w:r w:rsidR="0039380A" w:rsidRPr="003C7C55">
        <w:rPr>
          <w:b/>
          <w:lang w:val="es-ES" w:eastAsia="en-US"/>
        </w:rPr>
        <w:t>.</w:t>
      </w:r>
      <w:bookmarkEnd w:id="160"/>
    </w:p>
    <w:p w14:paraId="27623970" w14:textId="77777777" w:rsidR="00B64BBF" w:rsidRPr="003C7C55" w:rsidRDefault="00B64BBF" w:rsidP="00B64BBF">
      <w:pPr>
        <w:pStyle w:val="SingleTxt"/>
        <w:spacing w:after="0" w:line="120" w:lineRule="exact"/>
        <w:rPr>
          <w:sz w:val="10"/>
          <w:szCs w:val="10"/>
          <w:lang w:val="es-ES"/>
        </w:rPr>
      </w:pPr>
      <w:bookmarkStart w:id="161" w:name="bookmark_1498"/>
    </w:p>
    <w:p w14:paraId="4D0022F2"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Mujeres reclusas</w:t>
      </w:r>
      <w:bookmarkEnd w:id="161"/>
    </w:p>
    <w:p w14:paraId="19497EF3" w14:textId="77777777" w:rsidR="00B64BBF" w:rsidRPr="003C7C55" w:rsidRDefault="00B64BBF" w:rsidP="00B64BBF">
      <w:pPr>
        <w:pStyle w:val="SingleTxt"/>
        <w:spacing w:after="0" w:line="120" w:lineRule="exact"/>
        <w:rPr>
          <w:sz w:val="10"/>
          <w:szCs w:val="10"/>
          <w:lang w:val="es-ES"/>
        </w:rPr>
      </w:pPr>
    </w:p>
    <w:p w14:paraId="3397EC5F" w14:textId="7F5F788B" w:rsidR="004E3FF9" w:rsidRPr="003C7C55" w:rsidRDefault="004E3FF9" w:rsidP="009F6113">
      <w:pPr>
        <w:pStyle w:val="SingleTxt"/>
        <w:numPr>
          <w:ilvl w:val="0"/>
          <w:numId w:val="5"/>
        </w:numPr>
        <w:tabs>
          <w:tab w:val="num" w:pos="1742"/>
        </w:tabs>
        <w:ind w:left="1267" w:firstLine="0"/>
        <w:rPr>
          <w:szCs w:val="22"/>
          <w:lang w:val="es-ES" w:eastAsia="en-US"/>
        </w:rPr>
      </w:pPr>
      <w:bookmarkStart w:id="162" w:name="bookmark_1499"/>
      <w:r w:rsidRPr="003C7C55">
        <w:rPr>
          <w:szCs w:val="22"/>
          <w:lang w:val="es-ES" w:eastAsia="en-US"/>
        </w:rPr>
        <w:t>El Comité acoge con beneplácito la utilización por el Estado parte, desde</w:t>
      </w:r>
      <w:r w:rsidR="0039380A" w:rsidRPr="003C7C55">
        <w:rPr>
          <w:szCs w:val="22"/>
          <w:lang w:val="es-ES" w:eastAsia="en-US"/>
        </w:rPr>
        <w:t xml:space="preserve"> 2013</w:t>
      </w:r>
      <w:r w:rsidRPr="003C7C55">
        <w:rPr>
          <w:szCs w:val="22"/>
          <w:lang w:val="es-ES" w:eastAsia="en-US"/>
        </w:rPr>
        <w:t>, de las Reglas de las Naciones Unidas para el Tratamiento de las Reclusas y Medidas No Privativas de la Libertad para las Mujeres Delincuentes (las Reglas de Bangkok)</w:t>
      </w:r>
      <w:r w:rsidR="0039380A" w:rsidRPr="003C7C55">
        <w:rPr>
          <w:szCs w:val="22"/>
          <w:lang w:val="es-ES" w:eastAsia="en-US"/>
        </w:rPr>
        <w:t>.</w:t>
      </w:r>
      <w:r w:rsidRPr="003C7C55">
        <w:rPr>
          <w:szCs w:val="22"/>
          <w:lang w:val="es-ES" w:eastAsia="en-US"/>
        </w:rPr>
        <w:t xml:space="preserve"> Sin embargo, observa con preocupación:</w:t>
      </w:r>
      <w:bookmarkEnd w:id="162"/>
    </w:p>
    <w:p w14:paraId="417DC3B3" w14:textId="77777777" w:rsidR="0039380A" w:rsidRPr="003C7C55" w:rsidRDefault="00AA0312" w:rsidP="00AA0312">
      <w:pPr>
        <w:pStyle w:val="SingleTxt"/>
        <w:rPr>
          <w:lang w:val="es-ES" w:eastAsia="en-US"/>
        </w:rPr>
      </w:pPr>
      <w:bookmarkStart w:id="163" w:name="bookmark_1500"/>
      <w:r w:rsidRPr="003C7C55">
        <w:rPr>
          <w:lang w:val="es-ES" w:eastAsia="en-US"/>
        </w:rPr>
        <w:tab/>
        <w:t>a)</w:t>
      </w:r>
      <w:r w:rsidRPr="003C7C55">
        <w:rPr>
          <w:lang w:val="es-ES" w:eastAsia="en-US"/>
        </w:rPr>
        <w:tab/>
      </w:r>
      <w:r w:rsidR="004E3FF9" w:rsidRPr="003C7C55">
        <w:rPr>
          <w:lang w:val="es-ES" w:eastAsia="en-US"/>
        </w:rPr>
        <w:t>El elevado número de mujeres en prisión preventiva, la duración de la prisión preventiva y el hacinamiento de los lugares en los que las mujeres se ven privadas de su libertad;</w:t>
      </w:r>
      <w:bookmarkEnd w:id="163"/>
    </w:p>
    <w:p w14:paraId="36DC6DD6" w14:textId="18A3082F" w:rsidR="004E3FF9" w:rsidRPr="003C7C55" w:rsidRDefault="00AA0312" w:rsidP="00AA0312">
      <w:pPr>
        <w:pStyle w:val="SingleTxt"/>
        <w:rPr>
          <w:lang w:val="es-ES" w:eastAsia="en-US"/>
        </w:rPr>
      </w:pPr>
      <w:bookmarkStart w:id="164" w:name="bookmark_1501"/>
      <w:r w:rsidRPr="003C7C55">
        <w:rPr>
          <w:lang w:val="es-ES" w:eastAsia="en-US"/>
        </w:rPr>
        <w:tab/>
        <w:t>b)</w:t>
      </w:r>
      <w:r w:rsidRPr="003C7C55">
        <w:rPr>
          <w:lang w:val="es-ES" w:eastAsia="en-US"/>
        </w:rPr>
        <w:tab/>
      </w:r>
      <w:r w:rsidR="004E3FF9" w:rsidRPr="003C7C55">
        <w:rPr>
          <w:lang w:val="es-ES" w:eastAsia="en-US"/>
        </w:rPr>
        <w:t>La falta de separación entre las detenidas en prisión preventiva y las reclusas condenadas, y su acceso limitado a los servicios de atención sanitaria y los artículos de higiene personal;</w:t>
      </w:r>
      <w:bookmarkEnd w:id="164"/>
    </w:p>
    <w:p w14:paraId="1233D81A" w14:textId="77777777" w:rsidR="0039380A" w:rsidRPr="003C7C55" w:rsidRDefault="00AA0312" w:rsidP="00AA0312">
      <w:pPr>
        <w:pStyle w:val="SingleTxt"/>
        <w:rPr>
          <w:lang w:val="es-ES" w:eastAsia="en-US"/>
        </w:rPr>
      </w:pPr>
      <w:bookmarkStart w:id="165" w:name="bookmark_1502"/>
      <w:r w:rsidRPr="003C7C55">
        <w:rPr>
          <w:lang w:val="es-ES" w:eastAsia="en-US"/>
        </w:rPr>
        <w:tab/>
        <w:t>c)</w:t>
      </w:r>
      <w:r w:rsidRPr="003C7C55">
        <w:rPr>
          <w:lang w:val="es-ES" w:eastAsia="en-US"/>
        </w:rPr>
        <w:tab/>
      </w:r>
      <w:r w:rsidR="004E3FF9" w:rsidRPr="003C7C55">
        <w:rPr>
          <w:lang w:val="es-ES" w:eastAsia="en-US"/>
        </w:rPr>
        <w:t>La discriminación contra las mujeres lesbianas a través de la denegación de las visitas de sus parejas, y contra las madres adolescentes, a las que se les niega el derecho a mantener a sus hijos bajo su cuidado;</w:t>
      </w:r>
      <w:bookmarkEnd w:id="165"/>
    </w:p>
    <w:p w14:paraId="67B54655" w14:textId="77777777" w:rsidR="0039380A" w:rsidRPr="003C7C55" w:rsidRDefault="00AA0312" w:rsidP="00AA0312">
      <w:pPr>
        <w:pStyle w:val="SingleTxt"/>
        <w:rPr>
          <w:lang w:val="es-ES" w:eastAsia="en-US"/>
        </w:rPr>
      </w:pPr>
      <w:bookmarkStart w:id="166" w:name="bookmark_1503"/>
      <w:r w:rsidRPr="003C7C55">
        <w:rPr>
          <w:lang w:val="es-ES" w:eastAsia="en-US"/>
        </w:rPr>
        <w:tab/>
        <w:t>d)</w:t>
      </w:r>
      <w:r w:rsidRPr="003C7C55">
        <w:rPr>
          <w:lang w:val="es-ES" w:eastAsia="en-US"/>
        </w:rPr>
        <w:tab/>
      </w:r>
      <w:r w:rsidR="004E3FF9" w:rsidRPr="003C7C55">
        <w:rPr>
          <w:lang w:val="es-ES" w:eastAsia="en-US"/>
        </w:rPr>
        <w:t>Las denuncias de violencia contra las mujeres detenidas y de abusos contra las detenidas transexuales</w:t>
      </w:r>
      <w:r w:rsidR="0039380A" w:rsidRPr="003C7C55">
        <w:rPr>
          <w:lang w:val="es-ES" w:eastAsia="en-US"/>
        </w:rPr>
        <w:t>.</w:t>
      </w:r>
      <w:bookmarkEnd w:id="166"/>
    </w:p>
    <w:p w14:paraId="005998ED" w14:textId="084F5D27" w:rsidR="004E3FF9" w:rsidRPr="003C7C55" w:rsidRDefault="004E3FF9" w:rsidP="009F6113">
      <w:pPr>
        <w:pStyle w:val="SingleTxt"/>
        <w:numPr>
          <w:ilvl w:val="0"/>
          <w:numId w:val="5"/>
        </w:numPr>
        <w:tabs>
          <w:tab w:val="num" w:pos="1742"/>
        </w:tabs>
        <w:ind w:left="1267" w:firstLine="0"/>
        <w:rPr>
          <w:b/>
          <w:szCs w:val="22"/>
          <w:lang w:val="es-ES" w:eastAsia="en-US"/>
        </w:rPr>
      </w:pPr>
      <w:bookmarkStart w:id="167" w:name="bookmark_1504"/>
      <w:r w:rsidRPr="003C7C55">
        <w:rPr>
          <w:b/>
          <w:szCs w:val="22"/>
          <w:lang w:val="es-ES" w:eastAsia="en-US"/>
        </w:rPr>
        <w:t>El Comité recomienda al Estado parte que:</w:t>
      </w:r>
      <w:bookmarkEnd w:id="167"/>
    </w:p>
    <w:p w14:paraId="084C67DC" w14:textId="77777777" w:rsidR="004E3FF9" w:rsidRPr="003C7C55" w:rsidRDefault="00D858F4" w:rsidP="00D858F4">
      <w:pPr>
        <w:pStyle w:val="SingleTxt"/>
        <w:rPr>
          <w:lang w:val="es-ES" w:eastAsia="en-US"/>
        </w:rPr>
      </w:pPr>
      <w:bookmarkStart w:id="168" w:name="bookmark_1505"/>
      <w:r w:rsidRPr="003C7C55">
        <w:rPr>
          <w:lang w:val="es-ES" w:eastAsia="en-US"/>
        </w:rPr>
        <w:tab/>
        <w:t>a)</w:t>
      </w:r>
      <w:r w:rsidRPr="003C7C55">
        <w:rPr>
          <w:lang w:val="es-ES" w:eastAsia="en-US"/>
        </w:rPr>
        <w:tab/>
      </w:r>
      <w:r w:rsidR="004E3FF9" w:rsidRPr="003C7C55">
        <w:rPr>
          <w:b/>
          <w:lang w:val="es-ES" w:eastAsia="en-US"/>
        </w:rPr>
        <w:t>Aborde el problema del hacinamiento en los lugares en los que las mujeres se ven privadas de su libertad, por ejemplo, limitando el uso de la prisión preventiva, aplicando medidas alternativas a la detención e introduciendo un sistema para controlar la duración de la prisión preventiva;</w:t>
      </w:r>
      <w:bookmarkEnd w:id="168"/>
    </w:p>
    <w:p w14:paraId="76391965" w14:textId="77777777" w:rsidR="004E3FF9" w:rsidRPr="003C7C55" w:rsidRDefault="00D858F4" w:rsidP="00D858F4">
      <w:pPr>
        <w:pStyle w:val="SingleTxt"/>
        <w:rPr>
          <w:lang w:val="es-ES" w:eastAsia="en-US"/>
        </w:rPr>
      </w:pPr>
      <w:bookmarkStart w:id="169" w:name="bookmark_1506"/>
      <w:r w:rsidRPr="003C7C55">
        <w:rPr>
          <w:lang w:val="es-ES" w:eastAsia="en-US"/>
        </w:rPr>
        <w:tab/>
        <w:t>b)</w:t>
      </w:r>
      <w:r w:rsidRPr="003C7C55">
        <w:rPr>
          <w:lang w:val="es-ES" w:eastAsia="en-US"/>
        </w:rPr>
        <w:tab/>
      </w:r>
      <w:r w:rsidR="004E3FF9" w:rsidRPr="003C7C55">
        <w:rPr>
          <w:b/>
          <w:lang w:val="es-ES" w:eastAsia="en-US"/>
        </w:rPr>
        <w:t>Refuerce la capacitación sobre las Reglas de Bangkok y vigile su cumplimiento, y mejore las condiciones en las dependencias de detención de mujeres de conformidad con las normas internacionales, por ejemplo garantizando la separación entre las detenidas en prisión preventiva y las reclusas condenadas y velando por la prestación de servicios de atención sanitaria y artículos de higiene personal adecuados para las mujeres detenidas;</w:t>
      </w:r>
      <w:bookmarkEnd w:id="169"/>
    </w:p>
    <w:p w14:paraId="079021EF" w14:textId="77777777" w:rsidR="004E3FF9" w:rsidRPr="003C7C55" w:rsidRDefault="00D858F4" w:rsidP="00D858F4">
      <w:pPr>
        <w:pStyle w:val="SingleTxt"/>
        <w:rPr>
          <w:lang w:val="es-ES" w:eastAsia="en-US"/>
        </w:rPr>
      </w:pPr>
      <w:bookmarkStart w:id="170" w:name="bookmark_1507"/>
      <w:r w:rsidRPr="003C7C55">
        <w:rPr>
          <w:lang w:val="es-ES" w:eastAsia="en-US"/>
        </w:rPr>
        <w:tab/>
        <w:t>c)</w:t>
      </w:r>
      <w:r w:rsidRPr="003C7C55">
        <w:rPr>
          <w:lang w:val="es-ES" w:eastAsia="en-US"/>
        </w:rPr>
        <w:tab/>
      </w:r>
      <w:r w:rsidR="004E3FF9" w:rsidRPr="003C7C55">
        <w:rPr>
          <w:b/>
          <w:lang w:val="es-ES" w:eastAsia="en-US"/>
        </w:rPr>
        <w:t>Garantice las visitas de las parejas y los miembros de la familia de todas las mujeres, incluidas las madres adolescentes y las mujeres lesbianas y transexuales;</w:t>
      </w:r>
      <w:bookmarkEnd w:id="170"/>
    </w:p>
    <w:p w14:paraId="3F7287E5" w14:textId="4879032B" w:rsidR="004E3FF9" w:rsidRPr="003C7C55" w:rsidRDefault="00D858F4" w:rsidP="00D858F4">
      <w:pPr>
        <w:pStyle w:val="SingleTxt"/>
        <w:rPr>
          <w:lang w:val="es-ES" w:eastAsia="en-US"/>
        </w:rPr>
      </w:pPr>
      <w:bookmarkStart w:id="171" w:name="bookmark_1508"/>
      <w:r w:rsidRPr="003C7C55">
        <w:rPr>
          <w:lang w:val="es-ES" w:eastAsia="en-US"/>
        </w:rPr>
        <w:tab/>
        <w:t>d)</w:t>
      </w:r>
      <w:r w:rsidRPr="003C7C55">
        <w:rPr>
          <w:lang w:val="es-ES" w:eastAsia="en-US"/>
        </w:rPr>
        <w:tab/>
      </w:r>
      <w:r w:rsidR="004E3FF9" w:rsidRPr="003C7C55">
        <w:rPr>
          <w:b/>
          <w:lang w:val="es-ES" w:eastAsia="en-US"/>
        </w:rPr>
        <w:t>Vele por que las mujeres puedan presentar denuncias sobre las conductas abusivas de los guardias y el personal de supervisión de los centros de detención, en particular en lo que respecta a la violencia sexual, la intimidación o el hostigamiento, así como por que esos informes se investiguen con prontitud y de manera independiente e imparcial y que los autores sean debidamente castigados</w:t>
      </w:r>
      <w:r w:rsidR="0039380A" w:rsidRPr="003C7C55">
        <w:rPr>
          <w:b/>
          <w:lang w:val="es-ES" w:eastAsia="en-US"/>
        </w:rPr>
        <w:t>.</w:t>
      </w:r>
      <w:bookmarkEnd w:id="171"/>
    </w:p>
    <w:p w14:paraId="27D42D44" w14:textId="77777777" w:rsidR="00B64BBF" w:rsidRPr="003C7C55" w:rsidRDefault="00B64BBF" w:rsidP="00B64BBF">
      <w:pPr>
        <w:pStyle w:val="SingleTxt"/>
        <w:spacing w:after="0" w:line="120" w:lineRule="exact"/>
        <w:rPr>
          <w:sz w:val="10"/>
          <w:szCs w:val="10"/>
          <w:lang w:val="es-ES"/>
        </w:rPr>
      </w:pPr>
      <w:bookmarkStart w:id="172" w:name="bookmark_1509"/>
    </w:p>
    <w:p w14:paraId="466F9E3C" w14:textId="77777777" w:rsidR="00345291" w:rsidRDefault="00345291">
      <w:pPr>
        <w:suppressAutoHyphens w:val="0"/>
        <w:spacing w:line="240" w:lineRule="auto"/>
        <w:rPr>
          <w:b/>
          <w:spacing w:val="2"/>
          <w:lang w:val="es-ES" w:eastAsia="en-US"/>
        </w:rPr>
      </w:pPr>
      <w:r>
        <w:rPr>
          <w:bCs/>
          <w:lang w:val="es-ES" w:eastAsia="en-US"/>
        </w:rPr>
        <w:br w:type="page"/>
      </w:r>
    </w:p>
    <w:p w14:paraId="11D951B6" w14:textId="6F811781"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Matrimonio y relaciones familiares</w:t>
      </w:r>
      <w:bookmarkEnd w:id="172"/>
    </w:p>
    <w:p w14:paraId="59207BF2" w14:textId="77777777" w:rsidR="00B64BBF" w:rsidRPr="003C7C55" w:rsidRDefault="00B64BBF" w:rsidP="00B64BBF">
      <w:pPr>
        <w:pStyle w:val="SingleTxt"/>
        <w:spacing w:after="0" w:line="120" w:lineRule="exact"/>
        <w:rPr>
          <w:sz w:val="10"/>
          <w:szCs w:val="10"/>
          <w:lang w:val="es-ES"/>
        </w:rPr>
      </w:pPr>
    </w:p>
    <w:p w14:paraId="4E3FE208" w14:textId="461FC9B0" w:rsidR="004E3FF9" w:rsidRPr="003C7C55" w:rsidRDefault="004E3FF9" w:rsidP="009F6113">
      <w:pPr>
        <w:pStyle w:val="SingleTxt"/>
        <w:numPr>
          <w:ilvl w:val="0"/>
          <w:numId w:val="5"/>
        </w:numPr>
        <w:tabs>
          <w:tab w:val="num" w:pos="1742"/>
        </w:tabs>
        <w:ind w:left="1267" w:firstLine="0"/>
        <w:rPr>
          <w:szCs w:val="22"/>
          <w:lang w:val="es-ES" w:eastAsia="en-US"/>
        </w:rPr>
      </w:pPr>
      <w:bookmarkStart w:id="173" w:name="bookmark_1510"/>
      <w:r w:rsidRPr="003C7C55">
        <w:rPr>
          <w:szCs w:val="22"/>
          <w:lang w:val="es-ES" w:eastAsia="en-US"/>
        </w:rPr>
        <w:t>El Comité toma nota del incremento de la edad mínima para contraer matrimonio para las niñas y los niños hasta los</w:t>
      </w:r>
      <w:r w:rsidR="0039380A" w:rsidRPr="003C7C55">
        <w:rPr>
          <w:szCs w:val="22"/>
          <w:lang w:val="es-ES" w:eastAsia="en-US"/>
        </w:rPr>
        <w:t xml:space="preserve"> 18 </w:t>
      </w:r>
      <w:r w:rsidRPr="003C7C55">
        <w:rPr>
          <w:szCs w:val="22"/>
          <w:lang w:val="es-ES" w:eastAsia="en-US"/>
        </w:rPr>
        <w:t>años</w:t>
      </w:r>
      <w:r w:rsidR="0039380A" w:rsidRPr="003C7C55">
        <w:rPr>
          <w:szCs w:val="22"/>
          <w:lang w:val="es-ES" w:eastAsia="en-US"/>
        </w:rPr>
        <w:t>.</w:t>
      </w:r>
      <w:r w:rsidRPr="003C7C55">
        <w:rPr>
          <w:szCs w:val="22"/>
          <w:lang w:val="es-ES" w:eastAsia="en-US"/>
        </w:rPr>
        <w:t xml:space="preserve"> Sin embargo, considera preocupantes:</w:t>
      </w:r>
      <w:bookmarkEnd w:id="173"/>
    </w:p>
    <w:p w14:paraId="03CF3510" w14:textId="46C35C1D" w:rsidR="004E3FF9" w:rsidRPr="003C7C55" w:rsidRDefault="00986EA0" w:rsidP="00986EA0">
      <w:pPr>
        <w:pStyle w:val="SingleTxt"/>
        <w:rPr>
          <w:lang w:val="es-ES" w:eastAsia="en-US"/>
        </w:rPr>
      </w:pPr>
      <w:bookmarkStart w:id="174" w:name="bookmark_1511"/>
      <w:r w:rsidRPr="003C7C55">
        <w:rPr>
          <w:lang w:val="es-ES"/>
        </w:rPr>
        <w:tab/>
      </w:r>
      <w:r w:rsidR="004E3FF9" w:rsidRPr="003C7C55">
        <w:rPr>
          <w:lang w:val="es-ES"/>
        </w:rPr>
        <w:t>a)</w:t>
      </w:r>
      <w:r w:rsidR="004E3FF9" w:rsidRPr="003C7C55">
        <w:rPr>
          <w:lang w:val="es-ES" w:eastAsia="en-US"/>
        </w:rPr>
        <w:tab/>
        <w:t>Las demás excepciones que permiten el matrimonio de los menores de</w:t>
      </w:r>
      <w:r w:rsidR="0039380A" w:rsidRPr="003C7C55">
        <w:rPr>
          <w:lang w:val="es-ES" w:eastAsia="en-US"/>
        </w:rPr>
        <w:t xml:space="preserve"> 18 </w:t>
      </w:r>
      <w:r w:rsidR="004E3FF9" w:rsidRPr="003C7C55">
        <w:rPr>
          <w:lang w:val="es-ES" w:eastAsia="en-US"/>
        </w:rPr>
        <w:t>años, sujetas a la autorización de los padres, los tutores legales o las autoridades judiciales;</w:t>
      </w:r>
      <w:bookmarkEnd w:id="174"/>
    </w:p>
    <w:p w14:paraId="2D1EFCF5" w14:textId="77777777" w:rsidR="004E3FF9" w:rsidRPr="003C7C55" w:rsidRDefault="00986EA0" w:rsidP="00986EA0">
      <w:pPr>
        <w:pStyle w:val="SingleTxt"/>
        <w:rPr>
          <w:lang w:val="es-ES" w:eastAsia="en-US"/>
        </w:rPr>
      </w:pPr>
      <w:bookmarkStart w:id="175" w:name="bookmark_1512"/>
      <w:r w:rsidRPr="003C7C55">
        <w:rPr>
          <w:lang w:val="es-ES" w:eastAsia="en-US"/>
        </w:rPr>
        <w:tab/>
      </w:r>
      <w:r w:rsidR="004E3FF9" w:rsidRPr="003C7C55">
        <w:rPr>
          <w:lang w:val="es-ES" w:eastAsia="en-US"/>
        </w:rPr>
        <w:t>b)</w:t>
      </w:r>
      <w:r w:rsidR="004E3FF9" w:rsidRPr="003C7C55">
        <w:rPr>
          <w:lang w:val="es-ES" w:eastAsia="en-US"/>
        </w:rPr>
        <w:tab/>
        <w:t>El desconocimiento entre las mujeres sobre la posibilidad de obtener acceso a apoyo financiero para las pruebas de ADN con respecto a las reclamaciones de paternidad, los obstáculos administrativos que les impiden servirse de ese apoyo financiero y los escasos recursos financieros destinados a la aplicación de tal apoyo;</w:t>
      </w:r>
      <w:bookmarkEnd w:id="175"/>
    </w:p>
    <w:p w14:paraId="18DB0C10" w14:textId="4D167464" w:rsidR="004E3FF9" w:rsidRPr="003C7C55" w:rsidRDefault="00986EA0" w:rsidP="00986EA0">
      <w:pPr>
        <w:pStyle w:val="SingleTxt"/>
        <w:rPr>
          <w:lang w:val="es-ES" w:eastAsia="en-US"/>
        </w:rPr>
      </w:pPr>
      <w:bookmarkStart w:id="176" w:name="bookmark_1513"/>
      <w:r w:rsidRPr="003C7C55">
        <w:rPr>
          <w:lang w:val="es-ES" w:eastAsia="en-US"/>
        </w:rPr>
        <w:tab/>
      </w:r>
      <w:r w:rsidR="004E3FF9" w:rsidRPr="003C7C55">
        <w:rPr>
          <w:lang w:val="es-ES" w:eastAsia="en-US"/>
        </w:rPr>
        <w:t>c)</w:t>
      </w:r>
      <w:r w:rsidR="004E3FF9" w:rsidRPr="003C7C55">
        <w:rPr>
          <w:lang w:val="es-ES" w:eastAsia="en-US"/>
        </w:rPr>
        <w:tab/>
        <w:t>La no inclusión de los activos intangibles, como las pensiones, los seguros y las prestaciones relacionadas con el trabajo, en la definición de los bienes bajo el régimen de propiedad comunitaria, lo que da lugar a la división desigual de los bienes entre el hombre y la mujer en caso de divorcio, que se deriva a su vez en la falta de mecanismos para compensar a las mujeres por las disparidades económicas entre los cónyuges</w:t>
      </w:r>
      <w:r w:rsidR="0039380A" w:rsidRPr="003C7C55">
        <w:rPr>
          <w:lang w:val="es-ES" w:eastAsia="en-US"/>
        </w:rPr>
        <w:t>.</w:t>
      </w:r>
      <w:bookmarkEnd w:id="176"/>
    </w:p>
    <w:p w14:paraId="266A791D" w14:textId="0E12B501" w:rsidR="004E3FF9" w:rsidRPr="003C7C55" w:rsidRDefault="004E3FF9" w:rsidP="009F6113">
      <w:pPr>
        <w:pStyle w:val="SingleTxt"/>
        <w:numPr>
          <w:ilvl w:val="0"/>
          <w:numId w:val="5"/>
        </w:numPr>
        <w:tabs>
          <w:tab w:val="num" w:pos="1742"/>
        </w:tabs>
        <w:ind w:left="1267" w:firstLine="0"/>
        <w:rPr>
          <w:b/>
          <w:szCs w:val="22"/>
          <w:lang w:val="es-ES" w:eastAsia="en-US"/>
        </w:rPr>
      </w:pPr>
      <w:bookmarkStart w:id="177" w:name="bookmark_1514"/>
      <w:r w:rsidRPr="003C7C55">
        <w:rPr>
          <w:b/>
          <w:szCs w:val="22"/>
          <w:lang w:val="es-ES" w:eastAsia="en-US"/>
        </w:rPr>
        <w:t>El Comité, recordando su recomendación general núm</w:t>
      </w:r>
      <w:r w:rsidR="0039380A" w:rsidRPr="003C7C55">
        <w:rPr>
          <w:b/>
          <w:szCs w:val="22"/>
          <w:lang w:val="es-ES" w:eastAsia="en-US"/>
        </w:rPr>
        <w:t xml:space="preserve">. 21 </w:t>
      </w:r>
      <w:r w:rsidRPr="003C7C55">
        <w:rPr>
          <w:b/>
          <w:szCs w:val="22"/>
          <w:lang w:val="es-ES" w:eastAsia="en-US"/>
        </w:rPr>
        <w:t>(</w:t>
      </w:r>
      <w:r w:rsidR="0039380A" w:rsidRPr="003C7C55">
        <w:rPr>
          <w:b/>
          <w:szCs w:val="22"/>
          <w:lang w:val="es-ES" w:eastAsia="en-US"/>
        </w:rPr>
        <w:t>1994</w:t>
      </w:r>
      <w:r w:rsidRPr="003C7C55">
        <w:rPr>
          <w:b/>
          <w:szCs w:val="22"/>
          <w:lang w:val="es-ES" w:eastAsia="en-US"/>
        </w:rPr>
        <w:t>) sobre la igualdad en el matrimonio y en las relaciones familiares y su recomendación general núm</w:t>
      </w:r>
      <w:r w:rsidR="0039380A" w:rsidRPr="003C7C55">
        <w:rPr>
          <w:b/>
          <w:szCs w:val="22"/>
          <w:lang w:val="es-ES" w:eastAsia="en-US"/>
        </w:rPr>
        <w:t xml:space="preserve">. 29 </w:t>
      </w:r>
      <w:r w:rsidRPr="003C7C55">
        <w:rPr>
          <w:b/>
          <w:szCs w:val="22"/>
          <w:lang w:val="es-ES" w:eastAsia="en-US"/>
        </w:rPr>
        <w:t>(</w:t>
      </w:r>
      <w:r w:rsidR="0039380A" w:rsidRPr="003C7C55">
        <w:rPr>
          <w:b/>
          <w:szCs w:val="22"/>
          <w:lang w:val="es-ES" w:eastAsia="en-US"/>
        </w:rPr>
        <w:t>2013</w:t>
      </w:r>
      <w:r w:rsidRPr="003C7C55">
        <w:rPr>
          <w:b/>
          <w:szCs w:val="22"/>
          <w:lang w:val="es-ES" w:eastAsia="en-US"/>
        </w:rPr>
        <w:t>) sobre las consecuencias económicas del matrimonio, las relaciones familiares y su disolución, recomienda que el Estado parte:</w:t>
      </w:r>
      <w:bookmarkEnd w:id="177"/>
    </w:p>
    <w:p w14:paraId="5DB502F5" w14:textId="77777777" w:rsidR="004E3FF9" w:rsidRPr="003C7C55" w:rsidRDefault="004E3FF9" w:rsidP="007D5239">
      <w:pPr>
        <w:pStyle w:val="SingleTxt"/>
        <w:rPr>
          <w:lang w:val="es-ES" w:eastAsia="en-US"/>
        </w:rPr>
      </w:pPr>
      <w:bookmarkStart w:id="178" w:name="bookmark_1515"/>
      <w:r w:rsidRPr="003C7C55">
        <w:rPr>
          <w:lang w:val="es-ES" w:eastAsia="en-US"/>
        </w:rPr>
        <w:tab/>
        <w:t>a)</w:t>
      </w:r>
      <w:r w:rsidRPr="003C7C55">
        <w:rPr>
          <w:lang w:val="es-ES" w:eastAsia="en-US"/>
        </w:rPr>
        <w:tab/>
      </w:r>
      <w:r w:rsidRPr="003C7C55">
        <w:rPr>
          <w:b/>
          <w:lang w:val="es-ES" w:eastAsia="en-US"/>
        </w:rPr>
        <w:t>Adopte medidas para eliminar las excepciones a la edad mínima para contraer matrimonio para las niñas y los niños y garantice que tales excepciones solo puedan ser autorizadas por una autoridad judicial y únicamente con el consentimiento previo, libre e informado de las niñas interesadas;</w:t>
      </w:r>
      <w:bookmarkEnd w:id="178"/>
    </w:p>
    <w:p w14:paraId="043F5E67" w14:textId="5599C8A5" w:rsidR="004E3FF9" w:rsidRPr="003C7C55" w:rsidRDefault="004E3FF9" w:rsidP="007D5239">
      <w:pPr>
        <w:pStyle w:val="SingleTxt"/>
        <w:rPr>
          <w:lang w:val="es-ES" w:eastAsia="en-US"/>
        </w:rPr>
      </w:pPr>
      <w:bookmarkStart w:id="179" w:name="bookmark_1516"/>
      <w:r w:rsidRPr="003C7C55">
        <w:rPr>
          <w:lang w:val="es-ES" w:eastAsia="en-US"/>
        </w:rPr>
        <w:tab/>
        <w:t>b)</w:t>
      </w:r>
      <w:r w:rsidRPr="003C7C55">
        <w:rPr>
          <w:lang w:val="es-ES" w:eastAsia="en-US"/>
        </w:rPr>
        <w:tab/>
      </w:r>
      <w:r w:rsidRPr="003C7C55">
        <w:rPr>
          <w:b/>
          <w:lang w:val="es-ES" w:eastAsia="en-US"/>
        </w:rPr>
        <w:t>Sensibilice a la opinión pública sobre la Ley núm</w:t>
      </w:r>
      <w:r w:rsidR="0039380A" w:rsidRPr="003C7C55">
        <w:rPr>
          <w:b/>
          <w:lang w:val="es-ES" w:eastAsia="en-US"/>
        </w:rPr>
        <w:t xml:space="preserve">. 1914 </w:t>
      </w:r>
      <w:r w:rsidRPr="003C7C55">
        <w:rPr>
          <w:b/>
          <w:lang w:val="es-ES" w:eastAsia="en-US"/>
        </w:rPr>
        <w:t>que concede apoyo financiero a las reclamaciones de paternidad en caso de falta de medios financieros, elimine los obstáculos administrativos para facilitar el acceso de las mujeres a ese apoyo financiero para las reclamaciones de paternidad y asigne recursos financieros suficientes para su aplicación;</w:t>
      </w:r>
      <w:bookmarkEnd w:id="179"/>
    </w:p>
    <w:p w14:paraId="0E155064" w14:textId="4CBFB89A" w:rsidR="004E3FF9" w:rsidRPr="003C7C55" w:rsidRDefault="007D5239" w:rsidP="007D5239">
      <w:pPr>
        <w:pStyle w:val="SingleTxt"/>
        <w:rPr>
          <w:lang w:val="es-ES" w:eastAsia="en-US"/>
        </w:rPr>
      </w:pPr>
      <w:bookmarkStart w:id="180" w:name="bookmark_1517"/>
      <w:r w:rsidRPr="003C7C55">
        <w:rPr>
          <w:lang w:val="es-ES" w:eastAsia="en-US"/>
        </w:rPr>
        <w:tab/>
      </w:r>
      <w:r w:rsidR="004E3FF9" w:rsidRPr="003C7C55">
        <w:rPr>
          <w:lang w:val="es-ES" w:eastAsia="en-US"/>
        </w:rPr>
        <w:t>c)</w:t>
      </w:r>
      <w:r w:rsidR="004E3FF9" w:rsidRPr="003C7C55">
        <w:rPr>
          <w:lang w:val="es-ES" w:eastAsia="en-US"/>
        </w:rPr>
        <w:tab/>
      </w:r>
      <w:r w:rsidR="004E3FF9" w:rsidRPr="003C7C55">
        <w:rPr>
          <w:b/>
          <w:lang w:val="es-ES" w:eastAsia="en-US"/>
        </w:rPr>
        <w:t>Vele por que el concepto de bienes matrimoniales conjuntos se amplíe a los bienes intangibles, incluidas las pensiones y las prestaciones de seguros y otros beneficios profesionales, y adopte medidas jurídicas adicionales, según</w:t>
      </w:r>
      <w:r w:rsidR="0039380A" w:rsidRPr="003C7C55">
        <w:rPr>
          <w:b/>
          <w:lang w:val="es-ES" w:eastAsia="en-US"/>
        </w:rPr>
        <w:t xml:space="preserve"> </w:t>
      </w:r>
      <w:r w:rsidR="004E3FF9" w:rsidRPr="003C7C55">
        <w:rPr>
          <w:b/>
          <w:lang w:val="es-ES" w:eastAsia="en-US"/>
        </w:rPr>
        <w:t>corresponda, para compensar a las mujeres por el desigual reparto del trabajo no remunerado, en particular mediante pagos conyugales después de la</w:t>
      </w:r>
      <w:r w:rsidR="0039380A" w:rsidRPr="003C7C55">
        <w:rPr>
          <w:b/>
          <w:lang w:val="es-ES" w:eastAsia="en-US"/>
        </w:rPr>
        <w:t xml:space="preserve"> </w:t>
      </w:r>
      <w:r w:rsidR="004E3FF9" w:rsidRPr="003C7C55">
        <w:rPr>
          <w:b/>
          <w:lang w:val="es-ES" w:eastAsia="en-US"/>
        </w:rPr>
        <w:t>separación</w:t>
      </w:r>
      <w:r w:rsidR="0039380A" w:rsidRPr="003C7C55">
        <w:rPr>
          <w:b/>
          <w:lang w:val="es-ES" w:eastAsia="en-US"/>
        </w:rPr>
        <w:t>.</w:t>
      </w:r>
      <w:bookmarkEnd w:id="180"/>
    </w:p>
    <w:p w14:paraId="62B9BDEE" w14:textId="77777777" w:rsidR="00B64BBF" w:rsidRPr="003C7C55" w:rsidRDefault="00B64BBF" w:rsidP="00B64BBF">
      <w:pPr>
        <w:pStyle w:val="SingleTxt"/>
        <w:spacing w:after="0" w:line="120" w:lineRule="exact"/>
        <w:rPr>
          <w:sz w:val="10"/>
          <w:szCs w:val="10"/>
          <w:lang w:val="es-ES"/>
        </w:rPr>
      </w:pPr>
      <w:bookmarkStart w:id="181" w:name="bookmark_1518"/>
    </w:p>
    <w:p w14:paraId="0AB836BF" w14:textId="6F1EA8D8" w:rsidR="004E3FF9"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Enmienda del artículo</w:t>
      </w:r>
      <w:r w:rsidR="0039380A" w:rsidRPr="003C7C55">
        <w:rPr>
          <w:bCs w:val="0"/>
          <w:lang w:val="es-ES" w:eastAsia="en-US"/>
        </w:rPr>
        <w:t xml:space="preserve"> 20 1</w:t>
      </w:r>
      <w:r w:rsidR="004E3FF9" w:rsidRPr="003C7C55">
        <w:rPr>
          <w:bCs w:val="0"/>
          <w:lang w:val="es-ES" w:eastAsia="en-US"/>
        </w:rPr>
        <w:t>) de la Convención</w:t>
      </w:r>
      <w:bookmarkEnd w:id="181"/>
    </w:p>
    <w:p w14:paraId="5818E459" w14:textId="77777777" w:rsidR="00B64BBF" w:rsidRPr="003C7C55" w:rsidRDefault="00B64BBF" w:rsidP="00B64BBF">
      <w:pPr>
        <w:pStyle w:val="SingleTxt"/>
        <w:spacing w:after="0" w:line="120" w:lineRule="exact"/>
        <w:rPr>
          <w:sz w:val="10"/>
          <w:szCs w:val="10"/>
          <w:lang w:val="es-ES"/>
        </w:rPr>
      </w:pPr>
    </w:p>
    <w:p w14:paraId="4DFD158E" w14:textId="5484050D" w:rsidR="004E3FF9" w:rsidRPr="003C7C55" w:rsidRDefault="004E3FF9" w:rsidP="009F6113">
      <w:pPr>
        <w:pStyle w:val="SingleTxt"/>
        <w:numPr>
          <w:ilvl w:val="0"/>
          <w:numId w:val="5"/>
        </w:numPr>
        <w:tabs>
          <w:tab w:val="num" w:pos="1742"/>
        </w:tabs>
        <w:ind w:left="1267" w:firstLine="0"/>
        <w:rPr>
          <w:b/>
          <w:szCs w:val="22"/>
          <w:lang w:val="es-ES" w:eastAsia="en-US"/>
        </w:rPr>
      </w:pPr>
      <w:bookmarkStart w:id="182" w:name="bookmark_1519"/>
      <w:r w:rsidRPr="003C7C55">
        <w:rPr>
          <w:b/>
          <w:szCs w:val="22"/>
          <w:lang w:val="es-ES" w:eastAsia="en-US"/>
        </w:rPr>
        <w:t>El Comité alienta al Estado parte a que acepte, a la mayor brevedad, la enmienda del artículo</w:t>
      </w:r>
      <w:r w:rsidR="0039380A" w:rsidRPr="003C7C55">
        <w:rPr>
          <w:b/>
          <w:szCs w:val="22"/>
          <w:lang w:val="es-ES" w:eastAsia="en-US"/>
        </w:rPr>
        <w:t xml:space="preserve"> 20 1</w:t>
      </w:r>
      <w:r w:rsidRPr="003C7C55">
        <w:rPr>
          <w:b/>
          <w:szCs w:val="22"/>
          <w:lang w:val="es-ES" w:eastAsia="en-US"/>
        </w:rPr>
        <w:t>) de la Convención relativo a la duración de las reuniones del Comité</w:t>
      </w:r>
      <w:r w:rsidR="0039380A" w:rsidRPr="003C7C55">
        <w:rPr>
          <w:b/>
          <w:szCs w:val="22"/>
          <w:lang w:val="es-ES" w:eastAsia="en-US"/>
        </w:rPr>
        <w:t>.</w:t>
      </w:r>
      <w:bookmarkEnd w:id="182"/>
    </w:p>
    <w:p w14:paraId="0130BFA8" w14:textId="77777777" w:rsidR="00B64BBF" w:rsidRPr="003C7C55" w:rsidRDefault="00B64BBF" w:rsidP="00B64BBF">
      <w:pPr>
        <w:pStyle w:val="SingleTxt"/>
        <w:spacing w:after="0" w:line="120" w:lineRule="exact"/>
        <w:rPr>
          <w:sz w:val="10"/>
          <w:szCs w:val="10"/>
          <w:lang w:val="es-ES"/>
        </w:rPr>
      </w:pPr>
      <w:bookmarkStart w:id="183" w:name="bookmark_1520"/>
    </w:p>
    <w:p w14:paraId="428BFEDC" w14:textId="77777777" w:rsidR="0039380A"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Declaración y Plataforma de Acción de Beijing</w:t>
      </w:r>
      <w:bookmarkEnd w:id="183"/>
    </w:p>
    <w:p w14:paraId="04CD5F82" w14:textId="733E92A0" w:rsidR="00B64BBF" w:rsidRPr="003C7C55" w:rsidRDefault="00B64BBF" w:rsidP="00B64BBF">
      <w:pPr>
        <w:pStyle w:val="SingleTxt"/>
        <w:spacing w:after="0" w:line="120" w:lineRule="exact"/>
        <w:rPr>
          <w:sz w:val="10"/>
          <w:szCs w:val="10"/>
          <w:lang w:val="es-ES"/>
        </w:rPr>
      </w:pPr>
    </w:p>
    <w:p w14:paraId="55D5A3B1" w14:textId="4DAC339F" w:rsidR="004E3FF9" w:rsidRPr="003C7C55" w:rsidRDefault="004E3FF9" w:rsidP="009F6113">
      <w:pPr>
        <w:pStyle w:val="SingleTxt"/>
        <w:numPr>
          <w:ilvl w:val="0"/>
          <w:numId w:val="5"/>
        </w:numPr>
        <w:tabs>
          <w:tab w:val="num" w:pos="1742"/>
        </w:tabs>
        <w:ind w:left="1267" w:firstLine="0"/>
        <w:rPr>
          <w:b/>
          <w:szCs w:val="22"/>
          <w:lang w:val="es-ES" w:eastAsia="en-US"/>
        </w:rPr>
      </w:pPr>
      <w:bookmarkStart w:id="184" w:name="bookmark_1521"/>
      <w:r w:rsidRPr="003C7C55">
        <w:rPr>
          <w:b/>
          <w:szCs w:val="22"/>
          <w:lang w:val="es-ES" w:eastAsia="en-US"/>
        </w:rPr>
        <w:t>El Comité insta al Estado parte a que haga uso de la Declaración y Plataforma de Acción de Beijing en sus iniciativas encaminadas a poner en práctica las disposiciones de la Convención</w:t>
      </w:r>
      <w:r w:rsidR="0039380A" w:rsidRPr="003C7C55">
        <w:rPr>
          <w:b/>
          <w:szCs w:val="22"/>
          <w:lang w:val="es-ES" w:eastAsia="en-US"/>
        </w:rPr>
        <w:t>.</w:t>
      </w:r>
      <w:bookmarkEnd w:id="184"/>
    </w:p>
    <w:p w14:paraId="7FF5903E" w14:textId="77777777" w:rsidR="00B64BBF" w:rsidRPr="003C7C55" w:rsidRDefault="00B64BBF" w:rsidP="00B64BBF">
      <w:pPr>
        <w:pStyle w:val="SingleTxt"/>
        <w:spacing w:after="0" w:line="120" w:lineRule="exact"/>
        <w:rPr>
          <w:sz w:val="10"/>
          <w:szCs w:val="10"/>
          <w:lang w:val="es-ES"/>
        </w:rPr>
      </w:pPr>
      <w:bookmarkStart w:id="185" w:name="bookmark_1522"/>
    </w:p>
    <w:p w14:paraId="5CCBE6C5" w14:textId="77777777" w:rsidR="00345291" w:rsidRDefault="00345291">
      <w:pPr>
        <w:suppressAutoHyphens w:val="0"/>
        <w:spacing w:line="240" w:lineRule="auto"/>
        <w:rPr>
          <w:b/>
          <w:spacing w:val="2"/>
          <w:lang w:val="es-ES" w:eastAsia="en-US"/>
        </w:rPr>
      </w:pPr>
      <w:r>
        <w:rPr>
          <w:bCs/>
          <w:lang w:val="es-ES" w:eastAsia="en-US"/>
        </w:rPr>
        <w:br w:type="page"/>
      </w:r>
    </w:p>
    <w:p w14:paraId="6193848C" w14:textId="4E779640" w:rsidR="0039380A"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Agenda</w:t>
      </w:r>
      <w:r w:rsidR="0039380A" w:rsidRPr="003C7C55">
        <w:rPr>
          <w:bCs w:val="0"/>
          <w:lang w:val="es-ES" w:eastAsia="en-US"/>
        </w:rPr>
        <w:t xml:space="preserve"> 2030 </w:t>
      </w:r>
      <w:r w:rsidRPr="003C7C55">
        <w:rPr>
          <w:bCs w:val="0"/>
          <w:lang w:val="es-ES" w:eastAsia="en-US"/>
        </w:rPr>
        <w:t>para el Desarrollo Sostenible</w:t>
      </w:r>
      <w:bookmarkEnd w:id="185"/>
    </w:p>
    <w:p w14:paraId="74CBBE58" w14:textId="0FBD05C8" w:rsidR="00B64BBF" w:rsidRPr="003C7C55" w:rsidRDefault="00B64BBF" w:rsidP="00B64BBF">
      <w:pPr>
        <w:pStyle w:val="SingleTxt"/>
        <w:spacing w:after="0" w:line="120" w:lineRule="exact"/>
        <w:rPr>
          <w:sz w:val="10"/>
          <w:szCs w:val="10"/>
          <w:lang w:val="es-ES"/>
        </w:rPr>
      </w:pPr>
    </w:p>
    <w:p w14:paraId="47523C64" w14:textId="7A537CA1" w:rsidR="004E3FF9" w:rsidRPr="003C7C55" w:rsidRDefault="004E3FF9" w:rsidP="009F6113">
      <w:pPr>
        <w:pStyle w:val="SingleTxt"/>
        <w:numPr>
          <w:ilvl w:val="0"/>
          <w:numId w:val="5"/>
        </w:numPr>
        <w:tabs>
          <w:tab w:val="num" w:pos="1742"/>
        </w:tabs>
        <w:ind w:left="1267" w:firstLine="0"/>
        <w:rPr>
          <w:b/>
          <w:szCs w:val="22"/>
          <w:lang w:val="es-ES" w:eastAsia="en-US"/>
        </w:rPr>
      </w:pPr>
      <w:bookmarkStart w:id="186" w:name="bookmark_1523"/>
      <w:r w:rsidRPr="003C7C55">
        <w:rPr>
          <w:b/>
          <w:szCs w:val="22"/>
          <w:lang w:val="es-ES" w:eastAsia="en-US"/>
        </w:rPr>
        <w:t>El Comité pide que se haga efectiva la igualdad de género sustantiva, de</w:t>
      </w:r>
      <w:r w:rsidR="0039380A" w:rsidRPr="003C7C55">
        <w:rPr>
          <w:b/>
          <w:szCs w:val="22"/>
          <w:lang w:val="es-ES" w:eastAsia="en-US"/>
        </w:rPr>
        <w:t xml:space="preserve"> </w:t>
      </w:r>
      <w:r w:rsidRPr="003C7C55">
        <w:rPr>
          <w:b/>
          <w:szCs w:val="22"/>
          <w:lang w:val="es-ES" w:eastAsia="en-US"/>
        </w:rPr>
        <w:t>conformidad con las disposiciones de la Convención, en todo el proceso de aplicación de la Agenda</w:t>
      </w:r>
      <w:r w:rsidR="0039380A" w:rsidRPr="003C7C55">
        <w:rPr>
          <w:b/>
          <w:szCs w:val="22"/>
          <w:lang w:val="es-ES" w:eastAsia="en-US"/>
        </w:rPr>
        <w:t xml:space="preserve"> 2030 </w:t>
      </w:r>
      <w:r w:rsidRPr="003C7C55">
        <w:rPr>
          <w:b/>
          <w:szCs w:val="22"/>
          <w:lang w:val="es-ES" w:eastAsia="en-US"/>
        </w:rPr>
        <w:t>para el Desarrollo Sostenible</w:t>
      </w:r>
      <w:r w:rsidR="0039380A" w:rsidRPr="003C7C55">
        <w:rPr>
          <w:b/>
          <w:szCs w:val="22"/>
          <w:lang w:val="es-ES" w:eastAsia="en-US"/>
        </w:rPr>
        <w:t>.</w:t>
      </w:r>
      <w:bookmarkEnd w:id="186"/>
    </w:p>
    <w:p w14:paraId="38E39D13" w14:textId="77777777" w:rsidR="00B64BBF" w:rsidRPr="003C7C55" w:rsidRDefault="00B64BBF" w:rsidP="00B64BBF">
      <w:pPr>
        <w:pStyle w:val="SingleTxt"/>
        <w:spacing w:after="0" w:line="120" w:lineRule="exact"/>
        <w:rPr>
          <w:sz w:val="10"/>
          <w:szCs w:val="10"/>
          <w:lang w:val="es-ES"/>
        </w:rPr>
      </w:pPr>
      <w:bookmarkStart w:id="187" w:name="bookmark_1524"/>
    </w:p>
    <w:p w14:paraId="019CD9C0" w14:textId="77777777" w:rsidR="0039380A" w:rsidRPr="003C7C55" w:rsidRDefault="004E3FF9" w:rsidP="003C0FE2">
      <w:pPr>
        <w:pStyle w:val="H23"/>
        <w:ind w:right="1260"/>
        <w:rPr>
          <w:lang w:val="es-ES"/>
        </w:rPr>
      </w:pPr>
      <w:r w:rsidRPr="003C7C55">
        <w:rPr>
          <w:lang w:val="es-ES"/>
        </w:rPr>
        <w:tab/>
      </w:r>
      <w:r w:rsidRPr="003C7C55">
        <w:rPr>
          <w:lang w:val="es-ES"/>
        </w:rPr>
        <w:tab/>
      </w:r>
      <w:r w:rsidRPr="003C7C55">
        <w:rPr>
          <w:bCs w:val="0"/>
          <w:lang w:val="es-ES" w:eastAsia="en-US"/>
        </w:rPr>
        <w:t>Difusión</w:t>
      </w:r>
      <w:bookmarkEnd w:id="187"/>
    </w:p>
    <w:p w14:paraId="167CB0A8" w14:textId="7350E638" w:rsidR="00B64BBF" w:rsidRPr="003C7C55" w:rsidRDefault="00B64BBF" w:rsidP="00B64BBF">
      <w:pPr>
        <w:pStyle w:val="SingleTxt"/>
        <w:spacing w:after="0" w:line="120" w:lineRule="exact"/>
        <w:rPr>
          <w:sz w:val="10"/>
          <w:szCs w:val="10"/>
          <w:lang w:val="es-ES"/>
        </w:rPr>
      </w:pPr>
    </w:p>
    <w:p w14:paraId="4891CBB6" w14:textId="66B6D18A" w:rsidR="004E3FF9" w:rsidRPr="003C7C55" w:rsidRDefault="004E3FF9" w:rsidP="009F6113">
      <w:pPr>
        <w:pStyle w:val="SingleTxt"/>
        <w:numPr>
          <w:ilvl w:val="0"/>
          <w:numId w:val="5"/>
        </w:numPr>
        <w:tabs>
          <w:tab w:val="num" w:pos="1742"/>
        </w:tabs>
        <w:ind w:left="1267" w:firstLine="0"/>
        <w:rPr>
          <w:b/>
          <w:szCs w:val="22"/>
          <w:lang w:val="es-ES" w:eastAsia="en-US"/>
        </w:rPr>
      </w:pPr>
      <w:bookmarkStart w:id="188" w:name="bookmark_1525"/>
      <w:r w:rsidRPr="003C7C55">
        <w:rPr>
          <w:b/>
          <w:szCs w:val="22"/>
          <w:lang w:val="es-ES" w:eastAsia="en-US"/>
        </w:rPr>
        <w:t>El Comité solicita que el Estado parte asegure que las presentes observaciones finales se difundan de manera oportuna, en los idiomas oficiales del Estado parte, entre las instituciones estatales competentes de todos los niveles (nacional, regional y local), en particular el Gobierno, los ministerios, el Parlamento y el poder judicial, a fin de permitir su plena aplicación</w:t>
      </w:r>
      <w:r w:rsidR="0039380A" w:rsidRPr="003C7C55">
        <w:rPr>
          <w:b/>
          <w:szCs w:val="22"/>
          <w:lang w:val="es-ES" w:eastAsia="en-US"/>
        </w:rPr>
        <w:t>.</w:t>
      </w:r>
      <w:bookmarkEnd w:id="188"/>
    </w:p>
    <w:p w14:paraId="1C40E52E" w14:textId="77777777" w:rsidR="00B64BBF" w:rsidRPr="003C7C55" w:rsidRDefault="00B64BBF" w:rsidP="00B64BBF">
      <w:pPr>
        <w:pStyle w:val="SingleTxt"/>
        <w:spacing w:after="0" w:line="120" w:lineRule="exact"/>
        <w:rPr>
          <w:sz w:val="10"/>
          <w:szCs w:val="10"/>
          <w:lang w:val="es-ES"/>
        </w:rPr>
      </w:pPr>
      <w:bookmarkStart w:id="189" w:name="bookmark_1526"/>
    </w:p>
    <w:p w14:paraId="00A4C3F2" w14:textId="77777777" w:rsidR="004E3FF9" w:rsidRPr="003C7C55" w:rsidRDefault="004E3FF9" w:rsidP="003C0FE2">
      <w:pPr>
        <w:pStyle w:val="H23"/>
        <w:ind w:right="1260"/>
        <w:rPr>
          <w:bCs w:val="0"/>
          <w:lang w:val="es-ES" w:eastAsia="en-US"/>
        </w:rPr>
      </w:pPr>
      <w:r w:rsidRPr="003C7C55">
        <w:rPr>
          <w:bCs w:val="0"/>
          <w:lang w:val="es-ES" w:eastAsia="en-US"/>
        </w:rPr>
        <w:tab/>
      </w:r>
      <w:r w:rsidRPr="003C7C55">
        <w:rPr>
          <w:bCs w:val="0"/>
          <w:lang w:val="es-ES" w:eastAsia="en-US"/>
        </w:rPr>
        <w:tab/>
        <w:t>Seguimiento de las observaciones finales</w:t>
      </w:r>
      <w:bookmarkEnd w:id="189"/>
    </w:p>
    <w:p w14:paraId="4BFDD129" w14:textId="77777777" w:rsidR="00B64BBF" w:rsidRPr="003C7C55" w:rsidRDefault="00B64BBF" w:rsidP="00B64BBF">
      <w:pPr>
        <w:pStyle w:val="SingleTxt"/>
        <w:spacing w:after="0" w:line="120" w:lineRule="exact"/>
        <w:rPr>
          <w:sz w:val="10"/>
          <w:szCs w:val="10"/>
          <w:lang w:val="es-ES"/>
        </w:rPr>
      </w:pPr>
    </w:p>
    <w:p w14:paraId="16896EFD" w14:textId="51E381C7" w:rsidR="0039380A" w:rsidRPr="003C7C55" w:rsidRDefault="004E3FF9" w:rsidP="009F6113">
      <w:pPr>
        <w:pStyle w:val="SingleTxt"/>
        <w:numPr>
          <w:ilvl w:val="0"/>
          <w:numId w:val="5"/>
        </w:numPr>
        <w:tabs>
          <w:tab w:val="num" w:pos="1742"/>
        </w:tabs>
        <w:ind w:left="1267" w:firstLine="0"/>
        <w:rPr>
          <w:b/>
          <w:szCs w:val="22"/>
          <w:lang w:val="es-ES" w:eastAsia="en-US"/>
        </w:rPr>
      </w:pPr>
      <w:bookmarkStart w:id="190" w:name="bookmark_1527"/>
      <w:r w:rsidRPr="003C7C55">
        <w:rPr>
          <w:b/>
          <w:szCs w:val="22"/>
          <w:lang w:val="es-ES" w:eastAsia="en-US"/>
        </w:rPr>
        <w:t>El Comité solicita al Estado parte que le proporcione por escrito, en un plazo de dos años, información sobre las medidas adoptadas en cumplimiento de las recomendaciones que figuran en los párrafos</w:t>
      </w:r>
      <w:r w:rsidR="0039380A" w:rsidRPr="003C7C55">
        <w:rPr>
          <w:b/>
          <w:szCs w:val="22"/>
          <w:lang w:val="es-ES" w:eastAsia="en-US"/>
        </w:rPr>
        <w:t xml:space="preserve"> 9 </w:t>
      </w:r>
      <w:r w:rsidRPr="003C7C55">
        <w:rPr>
          <w:b/>
          <w:szCs w:val="22"/>
          <w:lang w:val="es-ES" w:eastAsia="en-US"/>
        </w:rPr>
        <w:t>a),</w:t>
      </w:r>
      <w:r w:rsidR="0039380A" w:rsidRPr="003C7C55">
        <w:rPr>
          <w:b/>
          <w:szCs w:val="22"/>
          <w:lang w:val="es-ES" w:eastAsia="en-US"/>
        </w:rPr>
        <w:t xml:space="preserve"> 15 </w:t>
      </w:r>
      <w:r w:rsidRPr="003C7C55">
        <w:rPr>
          <w:b/>
          <w:szCs w:val="22"/>
          <w:lang w:val="es-ES" w:eastAsia="en-US"/>
        </w:rPr>
        <w:t>a),</w:t>
      </w:r>
      <w:r w:rsidR="0039380A" w:rsidRPr="003C7C55">
        <w:rPr>
          <w:b/>
          <w:szCs w:val="22"/>
          <w:lang w:val="es-ES" w:eastAsia="en-US"/>
        </w:rPr>
        <w:t xml:space="preserve"> 23 </w:t>
      </w:r>
      <w:r w:rsidRPr="003C7C55">
        <w:rPr>
          <w:b/>
          <w:szCs w:val="22"/>
          <w:lang w:val="es-ES" w:eastAsia="en-US"/>
        </w:rPr>
        <w:t>b) and</w:t>
      </w:r>
      <w:r w:rsidR="0039380A" w:rsidRPr="003C7C55">
        <w:rPr>
          <w:b/>
          <w:szCs w:val="22"/>
          <w:lang w:val="es-ES" w:eastAsia="en-US"/>
        </w:rPr>
        <w:t xml:space="preserve"> 35 </w:t>
      </w:r>
      <w:r w:rsidRPr="003C7C55">
        <w:rPr>
          <w:b/>
          <w:szCs w:val="22"/>
          <w:lang w:val="es-ES" w:eastAsia="en-US"/>
        </w:rPr>
        <w:t>c)</w:t>
      </w:r>
      <w:r w:rsidR="0039380A" w:rsidRPr="003C7C55">
        <w:rPr>
          <w:b/>
          <w:szCs w:val="22"/>
          <w:lang w:val="es-ES" w:eastAsia="en-US"/>
        </w:rPr>
        <w:t>.</w:t>
      </w:r>
      <w:bookmarkEnd w:id="190"/>
    </w:p>
    <w:p w14:paraId="4244C6CF" w14:textId="795A4156" w:rsidR="00B64BBF" w:rsidRPr="003C7C55" w:rsidRDefault="00B64BBF" w:rsidP="00B64BBF">
      <w:pPr>
        <w:pStyle w:val="SingleTxt"/>
        <w:spacing w:after="0" w:line="120" w:lineRule="exact"/>
        <w:rPr>
          <w:sz w:val="10"/>
          <w:szCs w:val="10"/>
          <w:lang w:val="es-ES"/>
        </w:rPr>
      </w:pPr>
      <w:bookmarkStart w:id="191" w:name="bookmark_1528"/>
    </w:p>
    <w:p w14:paraId="32788EFC" w14:textId="77777777" w:rsidR="0039380A" w:rsidRPr="003C7C55" w:rsidRDefault="003C0FE2" w:rsidP="003C0FE2">
      <w:pPr>
        <w:pStyle w:val="H23"/>
        <w:ind w:right="1260"/>
        <w:rPr>
          <w:bCs w:val="0"/>
          <w:lang w:val="es-ES" w:eastAsia="en-US"/>
        </w:rPr>
      </w:pPr>
      <w:r w:rsidRPr="003C7C55">
        <w:rPr>
          <w:bCs w:val="0"/>
          <w:lang w:val="es-ES" w:eastAsia="en-US"/>
        </w:rPr>
        <w:tab/>
      </w:r>
      <w:r w:rsidRPr="003C7C55">
        <w:rPr>
          <w:bCs w:val="0"/>
          <w:lang w:val="es-ES" w:eastAsia="en-US"/>
        </w:rPr>
        <w:tab/>
      </w:r>
      <w:r w:rsidR="004E3FF9" w:rsidRPr="003C7C55">
        <w:rPr>
          <w:bCs w:val="0"/>
          <w:lang w:val="es-ES" w:eastAsia="en-US"/>
        </w:rPr>
        <w:t>Preparación del próximo informe</w:t>
      </w:r>
      <w:bookmarkEnd w:id="191"/>
    </w:p>
    <w:p w14:paraId="04687444" w14:textId="0C26402C" w:rsidR="00B64BBF" w:rsidRPr="003C7C55" w:rsidRDefault="00B64BBF" w:rsidP="00B64BBF">
      <w:pPr>
        <w:pStyle w:val="SingleTxt"/>
        <w:spacing w:after="0" w:line="120" w:lineRule="exact"/>
        <w:rPr>
          <w:sz w:val="10"/>
          <w:szCs w:val="10"/>
          <w:lang w:val="es-ES"/>
        </w:rPr>
      </w:pPr>
    </w:p>
    <w:p w14:paraId="36411225" w14:textId="299458BD" w:rsidR="004E3FF9" w:rsidRPr="003C7C55" w:rsidRDefault="004E3FF9" w:rsidP="009F6113">
      <w:pPr>
        <w:pStyle w:val="SingleTxt"/>
        <w:numPr>
          <w:ilvl w:val="0"/>
          <w:numId w:val="5"/>
        </w:numPr>
        <w:tabs>
          <w:tab w:val="num" w:pos="1742"/>
        </w:tabs>
        <w:ind w:left="1267" w:firstLine="0"/>
        <w:rPr>
          <w:b/>
          <w:szCs w:val="22"/>
          <w:lang w:val="es-ES" w:eastAsia="en-US"/>
        </w:rPr>
      </w:pPr>
      <w:bookmarkStart w:id="192" w:name="bookmark_1529"/>
      <w:r w:rsidRPr="003C7C55">
        <w:rPr>
          <w:b/>
          <w:szCs w:val="22"/>
          <w:lang w:val="es-ES" w:eastAsia="en-US"/>
        </w:rPr>
        <w:t>El Comité invita al Estado parte a que presente su octavo informe periódico en noviembre de</w:t>
      </w:r>
      <w:r w:rsidR="0039380A" w:rsidRPr="003C7C55">
        <w:rPr>
          <w:b/>
          <w:szCs w:val="22"/>
          <w:lang w:val="es-ES" w:eastAsia="en-US"/>
        </w:rPr>
        <w:t xml:space="preserve"> 2021.</w:t>
      </w:r>
      <w:r w:rsidRPr="003C7C55">
        <w:rPr>
          <w:b/>
          <w:szCs w:val="22"/>
          <w:lang w:val="es-ES" w:eastAsia="en-US"/>
        </w:rPr>
        <w:t xml:space="preserve"> El informe deberá presentarse a tiempo y, en caso de demora, abarcar todo el período hasta el momento de su presentación</w:t>
      </w:r>
      <w:r w:rsidR="0039380A" w:rsidRPr="003C7C55">
        <w:rPr>
          <w:b/>
          <w:szCs w:val="22"/>
          <w:lang w:val="es-ES" w:eastAsia="en-US"/>
        </w:rPr>
        <w:t>.</w:t>
      </w:r>
      <w:bookmarkEnd w:id="192"/>
    </w:p>
    <w:p w14:paraId="7961ED2E" w14:textId="38A0952B" w:rsidR="005E4AC4" w:rsidRPr="003C7C55" w:rsidRDefault="004E3FF9" w:rsidP="009F6113">
      <w:pPr>
        <w:pStyle w:val="SingleTxt"/>
        <w:numPr>
          <w:ilvl w:val="0"/>
          <w:numId w:val="5"/>
        </w:numPr>
        <w:tabs>
          <w:tab w:val="num" w:pos="1742"/>
        </w:tabs>
        <w:ind w:left="1267" w:firstLine="0"/>
        <w:rPr>
          <w:b/>
          <w:szCs w:val="22"/>
          <w:lang w:val="es-ES" w:eastAsia="en-US"/>
        </w:rPr>
      </w:pPr>
      <w:bookmarkStart w:id="193" w:name="bookmark_1530"/>
      <w:r w:rsidRPr="003C7C55">
        <w:rPr>
          <w:b/>
          <w:szCs w:val="22"/>
          <w:lang w:val="es-ES" w:eastAsia="en-US"/>
        </w:rPr>
        <w:t xml:space="preserve">El Comité solicita al Estado parte que se atenga a las directrices armonizadas sobre la preparación de informes con arreglo a los tratados internacionales de derechos humanos, incluidas orientaciones relativas a la preparación de un documento básico común y de informes sobre tratados específicos (véase </w:t>
      </w:r>
      <w:hyperlink r:id="rId33" w:history="1">
        <w:r w:rsidRPr="003C7C55">
          <w:rPr>
            <w:rStyle w:val="Hipervnculo"/>
            <w:b/>
            <w:szCs w:val="22"/>
            <w:lang w:val="es-ES" w:eastAsia="en-US"/>
          </w:rPr>
          <w:t>HRI/GEN/</w:t>
        </w:r>
        <w:r w:rsidR="0039380A" w:rsidRPr="003C7C55">
          <w:rPr>
            <w:rStyle w:val="Hipervnculo"/>
            <w:b/>
            <w:szCs w:val="22"/>
            <w:lang w:val="es-ES" w:eastAsia="en-US"/>
          </w:rPr>
          <w:t>2</w:t>
        </w:r>
        <w:r w:rsidRPr="003C7C55">
          <w:rPr>
            <w:rStyle w:val="Hipervnculo"/>
            <w:b/>
            <w:szCs w:val="22"/>
            <w:lang w:val="es-ES" w:eastAsia="en-US"/>
          </w:rPr>
          <w:t>/Rev</w:t>
        </w:r>
        <w:r w:rsidR="0039380A" w:rsidRPr="003C7C55">
          <w:rPr>
            <w:rStyle w:val="Hipervnculo"/>
            <w:b/>
            <w:szCs w:val="22"/>
            <w:lang w:val="es-ES" w:eastAsia="en-US"/>
          </w:rPr>
          <w:t>.6</w:t>
        </w:r>
      </w:hyperlink>
      <w:r w:rsidRPr="003C7C55">
        <w:rPr>
          <w:b/>
          <w:szCs w:val="22"/>
          <w:lang w:val="es-ES" w:eastAsia="en-US"/>
        </w:rPr>
        <w:t>, cap</w:t>
      </w:r>
      <w:r w:rsidR="0039380A" w:rsidRPr="003C7C55">
        <w:rPr>
          <w:b/>
          <w:szCs w:val="22"/>
          <w:lang w:val="es-ES" w:eastAsia="en-US"/>
        </w:rPr>
        <w:t>.</w:t>
      </w:r>
      <w:r w:rsidRPr="003C7C55">
        <w:rPr>
          <w:b/>
          <w:szCs w:val="22"/>
          <w:lang w:val="es-ES" w:eastAsia="en-US"/>
        </w:rPr>
        <w:t xml:space="preserve"> I)</w:t>
      </w:r>
      <w:r w:rsidR="0039380A" w:rsidRPr="003C7C55">
        <w:rPr>
          <w:b/>
          <w:szCs w:val="22"/>
          <w:lang w:val="es-ES" w:eastAsia="en-US"/>
        </w:rPr>
        <w:t>.</w:t>
      </w:r>
      <w:bookmarkEnd w:id="3"/>
      <w:bookmarkEnd w:id="193"/>
    </w:p>
    <w:p w14:paraId="3CD4F273" w14:textId="77777777" w:rsidR="00827C33" w:rsidRPr="003C7C55" w:rsidRDefault="002F1215" w:rsidP="009979B6">
      <w:pPr>
        <w:pStyle w:val="SingleTxt"/>
        <w:rPr>
          <w:lang w:val="es-ES" w:eastAsia="en-US"/>
        </w:rPr>
      </w:pPr>
      <w:r w:rsidRPr="003C7C55">
        <w:rPr>
          <w:noProof/>
          <w:w w:val="100"/>
          <w:lang w:val="es-PY" w:eastAsia="es-PY"/>
        </w:rPr>
        <mc:AlternateContent>
          <mc:Choice Requires="wps">
            <w:drawing>
              <wp:anchor distT="4294967286" distB="4294967286" distL="114300" distR="114300" simplePos="0" relativeHeight="251657216" behindDoc="0" locked="0" layoutInCell="1" allowOverlap="1" wp14:anchorId="1083E5EF" wp14:editId="2F18A9C3">
                <wp:simplePos x="0" y="0"/>
                <wp:positionH relativeFrom="column">
                  <wp:posOffset>2669540</wp:posOffset>
                </wp:positionH>
                <wp:positionV relativeFrom="paragraph">
                  <wp:posOffset>304799</wp:posOffset>
                </wp:positionV>
                <wp:extent cx="914400" cy="0"/>
                <wp:effectExtent l="0" t="0" r="1905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1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93CD5" id="Straight Connector 4" o:spid="_x0000_s1026" style="position:absolute;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A/Gw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X7ASJEe&#10;WrTzloi286jSSoGA2qI86DQYV0B4pbY2VEpPameeNf3ukNJVR1TLI9/XswGQLGQkb1LCxhm4bT98&#10;0QxiyMHrKNqpsX2ABDnQKfbmfOsNP3lE4XCR5XkKHaSjKyHFmGes85+57lEwSiyFCqqRghyfnQ88&#10;SDGGhGOlN0LK2Hmp0AClZx8/xASnpWDBGcKcbfeVtOhIwuxkKXyxKPDch1l9UCyCdZyw9dX2RMiL&#10;DZdLFfCgEqBztS7D8WORLtbz9Tyf5LPH9SRP63ryaVPlk8cNUKof6qqqs5+BWpYXnWCMq8BuHNQs&#10;/7tBuD6Zy4jdRvUmQ/IWPeoFZMd/JB1bGbp3mYO9ZuetHVsMsxmDr+8oDP/9Huz71776BQAA//8D&#10;AFBLAwQUAAYACAAAACEAhaB4gt8AAAAJAQAADwAAAGRycy9kb3ducmV2LnhtbEyPQUvDQBCF74X+&#10;h2UEb+3GEsMSsynSolA8tVrE2zY7TYLZ2ZDdtrG/3hEPept583jzvWI5uk6ccQitJw138wQEUuVt&#10;S7WGt9enmQIRoiFrOk+o4QsDLMvppDC59Rfa4nkXa8EhFHKjoYmxz6UMVYPOhLnvkfh29IMzkdeh&#10;lnYwFw53nVwkSSadaYk/NKbHVYPV5+7kNKjru11v7Itaj/vj87VXH9l2v9H69mZ8fAARcYx/ZvjB&#10;Z3QomengT2SD6DSkiyRlKw+KO7HhPktZOPwKsizk/wblNwAAAP//AwBQSwECLQAUAAYACAAAACEA&#10;toM4kv4AAADhAQAAEwAAAAAAAAAAAAAAAAAAAAAAW0NvbnRlbnRfVHlwZXNdLnhtbFBLAQItABQA&#10;BgAIAAAAIQA4/SH/1gAAAJQBAAALAAAAAAAAAAAAAAAAAC8BAABfcmVscy8ucmVsc1BLAQItABQA&#10;BgAIAAAAIQCxa9A/GwIAADUEAAAOAAAAAAAAAAAAAAAAAC4CAABkcnMvZTJvRG9jLnhtbFBLAQIt&#10;ABQABgAIAAAAIQCFoHiC3wAAAAkBAAAPAAAAAAAAAAAAAAAAAHUEAABkcnMvZG93bnJldi54bWxQ&#10;SwUGAAAAAAQABADzAAAAgQUAAAAA&#10;" strokecolor="#010000" strokeweight=".25pt"/>
            </w:pict>
          </mc:Fallback>
        </mc:AlternateContent>
      </w:r>
    </w:p>
    <w:sectPr w:rsidR="00827C33" w:rsidRPr="003C7C55" w:rsidSect="00691C0B">
      <w:endnotePr>
        <w:numFmt w:val="decimal"/>
      </w:endnotePr>
      <w:type w:val="continuous"/>
      <w:pgSz w:w="12240" w:h="15840" w:code="1"/>
      <w:pgMar w:top="1440" w:right="1195" w:bottom="1152" w:left="1195" w:header="432" w:footer="504"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8-01-17T15:16:00Z" w:initials="Start">
    <w:p w14:paraId="2DD63806" w14:textId="77777777" w:rsidR="00420DFE" w:rsidRDefault="00420DFE">
      <w:pPr>
        <w:pStyle w:val="Textocomentario"/>
      </w:pPr>
      <w:r>
        <w:fldChar w:fldCharType="begin"/>
      </w:r>
      <w:r>
        <w:rPr>
          <w:rStyle w:val="Refdecomentario"/>
        </w:rPr>
        <w:instrText xml:space="preserve"> </w:instrText>
      </w:r>
      <w:r>
        <w:instrText>PAGE \# "'Page: '#'</w:instrText>
      </w:r>
      <w:r>
        <w:br/>
        <w:instrText>'"</w:instrText>
      </w:r>
      <w:r>
        <w:rPr>
          <w:rStyle w:val="Refdecomentario"/>
        </w:rPr>
        <w:instrText xml:space="preserve"> </w:instrText>
      </w:r>
      <w:r>
        <w:fldChar w:fldCharType="end"/>
      </w:r>
      <w:r>
        <w:rPr>
          <w:rStyle w:val="Refdecomentario"/>
        </w:rPr>
        <w:annotationRef/>
      </w:r>
      <w:r>
        <w:t>&lt;&lt;ODS JOB NO&gt;&gt;N1739459S&lt;&lt;ODS JOB NO&gt;&gt;</w:t>
      </w:r>
    </w:p>
    <w:p w14:paraId="63CBE3DE" w14:textId="77777777" w:rsidR="00420DFE" w:rsidRDefault="00420DFE">
      <w:pPr>
        <w:pStyle w:val="Textocomentario"/>
      </w:pPr>
      <w:r>
        <w:t>&lt;&lt;ODS DOC SYMBOL1&gt;&gt;CEDAW/C/PRY/CO/7&lt;&lt;ODS DOC SYMBOL1&gt;&gt;</w:t>
      </w:r>
    </w:p>
    <w:p w14:paraId="39AA3AD1" w14:textId="1FF1B81B" w:rsidR="00420DFE" w:rsidRDefault="00420DFE">
      <w:pPr>
        <w:pStyle w:val="Textocomentario"/>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A3A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6416A" w14:textId="77777777" w:rsidR="00323EEB" w:rsidRDefault="00323EEB">
      <w:r>
        <w:separator/>
      </w:r>
    </w:p>
  </w:endnote>
  <w:endnote w:type="continuationSeparator" w:id="0">
    <w:p w14:paraId="55342E26" w14:textId="77777777" w:rsidR="00323EEB" w:rsidRDefault="0032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Tw Cen MT Condensed Extra Bold"/>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5028"/>
      <w:gridCol w:w="5028"/>
    </w:tblGrid>
    <w:tr w:rsidR="0039380A" w14:paraId="58860D27" w14:textId="77777777">
      <w:trPr>
        <w:jc w:val="right"/>
      </w:trPr>
      <w:tc>
        <w:tcPr>
          <w:tcW w:w="5028" w:type="dxa"/>
        </w:tcPr>
        <w:p w14:paraId="23DBC63E" w14:textId="0D9BB48E" w:rsidR="0039380A" w:rsidRDefault="0039380A" w:rsidP="00A744CE">
          <w:pPr>
            <w:pStyle w:val="Piedepgina"/>
            <w:rPr>
              <w:b w:val="0"/>
              <w:bCs w:val="0"/>
              <w:w w:val="103"/>
              <w:sz w:val="14"/>
              <w:szCs w:val="14"/>
            </w:rPr>
          </w:pPr>
          <w:r>
            <w:rPr>
              <w:w w:val="103"/>
            </w:rPr>
            <w:fldChar w:fldCharType="begin"/>
          </w:r>
          <w:r>
            <w:rPr>
              <w:w w:val="103"/>
            </w:rPr>
            <w:instrText xml:space="preserve"> PAGE  \* Arabic  \* MERGEFORMAT </w:instrText>
          </w:r>
          <w:r>
            <w:rPr>
              <w:w w:val="103"/>
            </w:rPr>
            <w:fldChar w:fldCharType="separate"/>
          </w:r>
          <w:r w:rsidR="001F08CE">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F08CE">
            <w:rPr>
              <w:w w:val="103"/>
            </w:rPr>
            <w:t>2</w:t>
          </w:r>
          <w:r>
            <w:rPr>
              <w:w w:val="103"/>
            </w:rPr>
            <w:fldChar w:fldCharType="end"/>
          </w:r>
        </w:p>
      </w:tc>
      <w:tc>
        <w:tcPr>
          <w:tcW w:w="5028" w:type="dxa"/>
        </w:tcPr>
        <w:p w14:paraId="4150EC4D" w14:textId="2527A5CA" w:rsidR="0039380A" w:rsidRPr="00623417" w:rsidRDefault="00623417" w:rsidP="00A744CE">
          <w:pPr>
            <w:pStyle w:val="Piedepgina"/>
            <w:jc w:val="right"/>
            <w:rPr>
              <w:b w:val="0"/>
              <w:bCs w:val="0"/>
              <w:w w:val="103"/>
              <w:sz w:val="14"/>
              <w:szCs w:val="14"/>
            </w:rPr>
          </w:pPr>
          <w:r w:rsidRPr="00623417">
            <w:rPr>
              <w:b w:val="0"/>
              <w:bCs w:val="0"/>
              <w:w w:val="103"/>
              <w:sz w:val="14"/>
              <w:szCs w:val="14"/>
            </w:rPr>
            <w:t>17-20380</w:t>
          </w:r>
        </w:p>
      </w:tc>
    </w:tr>
  </w:tbl>
  <w:p w14:paraId="29B38070" w14:textId="77777777" w:rsidR="0039380A" w:rsidRDefault="003938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5028"/>
      <w:gridCol w:w="5028"/>
    </w:tblGrid>
    <w:tr w:rsidR="0039380A" w14:paraId="54CD14DD" w14:textId="77777777">
      <w:trPr>
        <w:jc w:val="right"/>
      </w:trPr>
      <w:tc>
        <w:tcPr>
          <w:tcW w:w="5028" w:type="dxa"/>
        </w:tcPr>
        <w:p w14:paraId="1CDC582D" w14:textId="561C011C" w:rsidR="0039380A" w:rsidRPr="00623417" w:rsidRDefault="00623417" w:rsidP="00A744CE">
          <w:pPr>
            <w:pStyle w:val="Piedepgina"/>
            <w:rPr>
              <w:b w:val="0"/>
              <w:bCs w:val="0"/>
              <w:w w:val="103"/>
              <w:sz w:val="14"/>
              <w:szCs w:val="14"/>
            </w:rPr>
          </w:pPr>
          <w:r w:rsidRPr="00623417">
            <w:rPr>
              <w:b w:val="0"/>
              <w:bCs w:val="0"/>
              <w:w w:val="103"/>
              <w:sz w:val="14"/>
              <w:szCs w:val="14"/>
            </w:rPr>
            <w:t>17-20380</w:t>
          </w:r>
        </w:p>
      </w:tc>
      <w:tc>
        <w:tcPr>
          <w:tcW w:w="5028" w:type="dxa"/>
        </w:tcPr>
        <w:p w14:paraId="4C2F7CA1" w14:textId="2377DCE6" w:rsidR="0039380A" w:rsidRDefault="0039380A" w:rsidP="00A744CE">
          <w:pPr>
            <w:pStyle w:val="Piedepgina"/>
            <w:jc w:val="right"/>
            <w:rPr>
              <w:b w:val="0"/>
              <w:bCs w:val="0"/>
              <w:w w:val="103"/>
              <w:sz w:val="14"/>
              <w:szCs w:val="14"/>
            </w:rPr>
          </w:pPr>
          <w:r>
            <w:rPr>
              <w:w w:val="103"/>
            </w:rPr>
            <w:fldChar w:fldCharType="begin"/>
          </w:r>
          <w:r>
            <w:rPr>
              <w:w w:val="103"/>
            </w:rPr>
            <w:instrText xml:space="preserve"> PAGE  \* Arabic  \* MERGEFORMAT </w:instrText>
          </w:r>
          <w:r>
            <w:rPr>
              <w:w w:val="103"/>
            </w:rPr>
            <w:fldChar w:fldCharType="separate"/>
          </w:r>
          <w:r w:rsidR="003307FA">
            <w:rPr>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307FA">
            <w:rPr>
              <w:w w:val="103"/>
            </w:rPr>
            <w:t>17</w:t>
          </w:r>
          <w:r>
            <w:rPr>
              <w:w w:val="103"/>
            </w:rPr>
            <w:fldChar w:fldCharType="end"/>
          </w:r>
        </w:p>
      </w:tc>
    </w:tr>
  </w:tbl>
  <w:p w14:paraId="5AA63D19" w14:textId="77777777" w:rsidR="0039380A" w:rsidRDefault="003938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39380A" w14:paraId="6FC6B996" w14:textId="77777777">
      <w:tc>
        <w:tcPr>
          <w:tcW w:w="3801" w:type="dxa"/>
        </w:tcPr>
        <w:p w14:paraId="650E20F3" w14:textId="7135B679" w:rsidR="0039380A" w:rsidRDefault="0039380A">
          <w:pPr>
            <w:pStyle w:val="ReleaseDate"/>
            <w:rPr>
              <w:noProof/>
            </w:rPr>
          </w:pPr>
          <w:r>
            <w:rPr>
              <w:noProof/>
            </w:rPr>
            <w:t>17-20380</w:t>
          </w:r>
          <w:r w:rsidR="00595AD2">
            <w:rPr>
              <w:noProof/>
            </w:rPr>
            <w:t>X</w:t>
          </w:r>
          <w:r>
            <w:rPr>
              <w:noProof/>
            </w:rPr>
            <w:t xml:space="preserve"> (S)</w:t>
          </w:r>
        </w:p>
        <w:p w14:paraId="0670C351" w14:textId="1095FCC1" w:rsidR="0039380A" w:rsidRDefault="0039380A">
          <w:pPr>
            <w:pStyle w:val="Piedepgina"/>
            <w:spacing w:before="80" w:line="210" w:lineRule="exact"/>
            <w:rPr>
              <w:rFonts w:ascii="Barcode 3 of 9 by request" w:hAnsi="Barcode 3 of 9 by request" w:cs="Barcode 3 of 9 by request"/>
              <w:sz w:val="24"/>
              <w:szCs w:val="24"/>
            </w:rPr>
          </w:pPr>
          <w:r>
            <w:rPr>
              <w:rFonts w:ascii="Barcode 3 of 9 by request" w:hAnsi="Barcode 3 of 9 by request" w:cs="Barcode 3 of 9 by request"/>
              <w:sz w:val="24"/>
              <w:szCs w:val="24"/>
            </w:rPr>
            <w:t>*1720380*</w:t>
          </w:r>
        </w:p>
      </w:tc>
      <w:tc>
        <w:tcPr>
          <w:tcW w:w="5028" w:type="dxa"/>
        </w:tcPr>
        <w:p w14:paraId="2F01B698" w14:textId="77777777" w:rsidR="0039380A" w:rsidRDefault="0039380A">
          <w:pPr>
            <w:pStyle w:val="Piedepgina"/>
            <w:jc w:val="right"/>
            <w:rPr>
              <w:b w:val="0"/>
              <w:bCs w:val="0"/>
              <w:sz w:val="20"/>
              <w:szCs w:val="20"/>
            </w:rPr>
          </w:pPr>
          <w:r>
            <w:rPr>
              <w:lang w:val="es-PY" w:eastAsia="es-PY"/>
            </w:rPr>
            <w:drawing>
              <wp:anchor distT="0" distB="0" distL="114300" distR="114300" simplePos="0" relativeHeight="251658240" behindDoc="0" locked="0" layoutInCell="1" allowOverlap="1" wp14:anchorId="35F8ECCE" wp14:editId="29A16E28">
                <wp:simplePos x="0" y="0"/>
                <wp:positionH relativeFrom="column">
                  <wp:posOffset>3133090</wp:posOffset>
                </wp:positionH>
                <wp:positionV relativeFrom="paragraph">
                  <wp:posOffset>-363220</wp:posOffset>
                </wp:positionV>
                <wp:extent cx="694690" cy="69469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sz w:val="20"/>
              <w:lang w:val="es-PY" w:eastAsia="es-PY"/>
            </w:rPr>
            <w:drawing>
              <wp:inline distT="0" distB="0" distL="0" distR="0" wp14:anchorId="310BCDC6" wp14:editId="2CE1E538">
                <wp:extent cx="1035050" cy="207010"/>
                <wp:effectExtent l="0" t="0" r="0" b="0"/>
                <wp:docPr id="4" name="Picture 5" descr="Description: Description: Description: Description: Description: Description: Description: Description: Description: Description: Description: Description: Description: 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recycle_Span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207010"/>
                        </a:xfrm>
                        <a:prstGeom prst="rect">
                          <a:avLst/>
                        </a:prstGeom>
                        <a:noFill/>
                        <a:ln>
                          <a:noFill/>
                        </a:ln>
                      </pic:spPr>
                    </pic:pic>
                  </a:graphicData>
                </a:graphic>
              </wp:inline>
            </w:drawing>
          </w:r>
        </w:p>
      </w:tc>
    </w:tr>
  </w:tbl>
  <w:p w14:paraId="35CA9D90" w14:textId="77777777" w:rsidR="0039380A" w:rsidRDefault="0039380A">
    <w:pPr>
      <w:pStyle w:val="Piedepgina"/>
      <w:spacing w:line="56" w:lineRule="auto"/>
      <w:rPr>
        <w:b w:val="0"/>
        <w:bCs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C954A" w14:textId="77777777" w:rsidR="00323EEB" w:rsidRDefault="00323EEB">
      <w:pPr>
        <w:pStyle w:val="Piedepgina"/>
        <w:spacing w:after="80"/>
        <w:ind w:left="792"/>
        <w:rPr>
          <w:sz w:val="16"/>
          <w:szCs w:val="16"/>
        </w:rPr>
      </w:pPr>
      <w:r>
        <w:rPr>
          <w:sz w:val="16"/>
          <w:szCs w:val="16"/>
        </w:rPr>
        <w:t>__________________</w:t>
      </w:r>
    </w:p>
  </w:footnote>
  <w:footnote w:type="continuationSeparator" w:id="0">
    <w:p w14:paraId="34CB1D62" w14:textId="77777777" w:rsidR="00323EEB" w:rsidRDefault="00323EEB">
      <w:pPr>
        <w:pStyle w:val="Piedepgina"/>
        <w:spacing w:after="80"/>
        <w:ind w:left="792"/>
        <w:rPr>
          <w:sz w:val="16"/>
          <w:szCs w:val="16"/>
        </w:rPr>
      </w:pPr>
      <w:r>
        <w:rPr>
          <w:sz w:val="16"/>
          <w:szCs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9380A" w14:paraId="55F86D9F" w14:textId="77777777">
      <w:trPr>
        <w:trHeight w:hRule="exact" w:val="864"/>
      </w:trPr>
      <w:tc>
        <w:tcPr>
          <w:tcW w:w="4838" w:type="dxa"/>
          <w:tcBorders>
            <w:bottom w:val="single" w:sz="2" w:space="0" w:color="000000"/>
          </w:tcBorders>
          <w:vAlign w:val="bottom"/>
        </w:tcPr>
        <w:p w14:paraId="0F524DD5" w14:textId="77777777" w:rsidR="0039380A" w:rsidRDefault="0039380A">
          <w:pPr>
            <w:pStyle w:val="Encabezado"/>
            <w:spacing w:after="80"/>
            <w:rPr>
              <w:b/>
              <w:bCs/>
            </w:rPr>
          </w:pPr>
          <w:r>
            <w:rPr>
              <w:b/>
              <w:bCs/>
            </w:rPr>
            <w:fldChar w:fldCharType="begin"/>
          </w:r>
          <w:r>
            <w:rPr>
              <w:b/>
              <w:bCs/>
            </w:rPr>
            <w:instrText xml:space="preserve"> DOCVARIABLE "sss1" \* MERGEFORMAT </w:instrText>
          </w:r>
          <w:r>
            <w:rPr>
              <w:b/>
              <w:bCs/>
            </w:rPr>
            <w:fldChar w:fldCharType="separate"/>
          </w:r>
          <w:r>
            <w:rPr>
              <w:b/>
              <w:bCs/>
            </w:rPr>
            <w:t>CEDAW/C/PRY/CO/7</w:t>
          </w:r>
          <w:r>
            <w:rPr>
              <w:b/>
              <w:bCs/>
            </w:rPr>
            <w:fldChar w:fldCharType="end"/>
          </w:r>
        </w:p>
      </w:tc>
      <w:tc>
        <w:tcPr>
          <w:tcW w:w="5028" w:type="dxa"/>
          <w:tcBorders>
            <w:bottom w:val="single" w:sz="2" w:space="0" w:color="000000"/>
          </w:tcBorders>
          <w:vAlign w:val="bottom"/>
        </w:tcPr>
        <w:p w14:paraId="63808EF0" w14:textId="77777777" w:rsidR="0039380A" w:rsidRDefault="0039380A">
          <w:pPr>
            <w:pStyle w:val="Encabezado"/>
          </w:pPr>
        </w:p>
      </w:tc>
    </w:tr>
  </w:tbl>
  <w:p w14:paraId="36923DD6" w14:textId="77777777" w:rsidR="0039380A" w:rsidRDefault="003938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9380A" w:rsidRPr="007034AD" w14:paraId="10E57A54" w14:textId="77777777">
      <w:trPr>
        <w:trHeight w:hRule="exact" w:val="864"/>
      </w:trPr>
      <w:tc>
        <w:tcPr>
          <w:tcW w:w="4838" w:type="dxa"/>
          <w:tcBorders>
            <w:bottom w:val="single" w:sz="2" w:space="0" w:color="000000"/>
          </w:tcBorders>
          <w:vAlign w:val="bottom"/>
        </w:tcPr>
        <w:p w14:paraId="75854894" w14:textId="77777777" w:rsidR="0039380A" w:rsidRDefault="0039380A">
          <w:pPr>
            <w:pStyle w:val="Encabezado"/>
          </w:pPr>
        </w:p>
      </w:tc>
      <w:tc>
        <w:tcPr>
          <w:tcW w:w="5028" w:type="dxa"/>
          <w:tcBorders>
            <w:bottom w:val="single" w:sz="2" w:space="0" w:color="000000"/>
          </w:tcBorders>
          <w:vAlign w:val="bottom"/>
        </w:tcPr>
        <w:p w14:paraId="153E44E3" w14:textId="77777777" w:rsidR="0039380A" w:rsidRDefault="0039380A">
          <w:pPr>
            <w:pStyle w:val="Encabezado"/>
            <w:spacing w:after="80"/>
            <w:jc w:val="right"/>
            <w:rPr>
              <w:b/>
              <w:bCs/>
            </w:rPr>
          </w:pPr>
          <w:r>
            <w:rPr>
              <w:b/>
              <w:bCs/>
            </w:rPr>
            <w:fldChar w:fldCharType="begin"/>
          </w:r>
          <w:r>
            <w:rPr>
              <w:b/>
              <w:bCs/>
            </w:rPr>
            <w:instrText xml:space="preserve"> DOCVARIABLE "sss1" \* MERGEFORMAT </w:instrText>
          </w:r>
          <w:r>
            <w:rPr>
              <w:b/>
              <w:bCs/>
            </w:rPr>
            <w:fldChar w:fldCharType="separate"/>
          </w:r>
          <w:r>
            <w:rPr>
              <w:b/>
              <w:bCs/>
            </w:rPr>
            <w:t>CEDAW/C/PRY/CO/7</w:t>
          </w:r>
          <w:r>
            <w:rPr>
              <w:b/>
              <w:bCs/>
            </w:rPr>
            <w:fldChar w:fldCharType="end"/>
          </w:r>
        </w:p>
      </w:tc>
    </w:tr>
  </w:tbl>
  <w:p w14:paraId="4E92B564" w14:textId="77777777" w:rsidR="0039380A" w:rsidRDefault="003938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1267"/>
      <w:gridCol w:w="2592"/>
      <w:gridCol w:w="245"/>
      <w:gridCol w:w="2390"/>
      <w:gridCol w:w="245"/>
      <w:gridCol w:w="3140"/>
      <w:gridCol w:w="21"/>
    </w:tblGrid>
    <w:tr w:rsidR="0039380A" w:rsidRPr="00B416F8" w14:paraId="1396A975" w14:textId="77777777" w:rsidTr="000973A0">
      <w:trPr>
        <w:trHeight w:hRule="exact" w:val="864"/>
      </w:trPr>
      <w:tc>
        <w:tcPr>
          <w:tcW w:w="1267" w:type="dxa"/>
          <w:tcBorders>
            <w:bottom w:val="single" w:sz="4" w:space="0" w:color="auto"/>
          </w:tcBorders>
          <w:vAlign w:val="bottom"/>
        </w:tcPr>
        <w:p w14:paraId="5230C294" w14:textId="77777777" w:rsidR="0039380A" w:rsidRDefault="0039380A">
          <w:pPr>
            <w:pStyle w:val="Encabezado"/>
            <w:spacing w:after="120"/>
          </w:pPr>
        </w:p>
      </w:tc>
      <w:tc>
        <w:tcPr>
          <w:tcW w:w="2592" w:type="dxa"/>
          <w:tcBorders>
            <w:bottom w:val="single" w:sz="4" w:space="0" w:color="auto"/>
          </w:tcBorders>
          <w:vAlign w:val="bottom"/>
        </w:tcPr>
        <w:p w14:paraId="33A57ADD" w14:textId="77777777" w:rsidR="0039380A" w:rsidRPr="0043124C" w:rsidRDefault="0039380A" w:rsidP="0043124C">
          <w:pPr>
            <w:pStyle w:val="HCh"/>
            <w:spacing w:after="80"/>
            <w:rPr>
              <w:b w:val="0"/>
              <w:bCs w:val="0"/>
              <w:spacing w:val="2"/>
              <w:w w:val="96"/>
              <w:szCs w:val="24"/>
              <w:lang w:val="es-ES"/>
            </w:rPr>
          </w:pPr>
          <w:r w:rsidRPr="0043124C">
            <w:rPr>
              <w:b w:val="0"/>
              <w:bCs w:val="0"/>
              <w:spacing w:val="2"/>
              <w:w w:val="96"/>
              <w:szCs w:val="24"/>
              <w:lang w:val="es-ES"/>
            </w:rPr>
            <w:t>Naciones Unidas</w:t>
          </w:r>
        </w:p>
      </w:tc>
      <w:tc>
        <w:tcPr>
          <w:tcW w:w="245" w:type="dxa"/>
          <w:tcBorders>
            <w:bottom w:val="single" w:sz="4" w:space="0" w:color="auto"/>
          </w:tcBorders>
          <w:vAlign w:val="bottom"/>
        </w:tcPr>
        <w:p w14:paraId="6E67349E" w14:textId="77777777" w:rsidR="0039380A" w:rsidRDefault="0039380A">
          <w:pPr>
            <w:pStyle w:val="Encabezado"/>
            <w:spacing w:after="120"/>
          </w:pPr>
        </w:p>
      </w:tc>
      <w:tc>
        <w:tcPr>
          <w:tcW w:w="5796" w:type="dxa"/>
          <w:gridSpan w:val="4"/>
          <w:tcBorders>
            <w:bottom w:val="single" w:sz="4" w:space="0" w:color="auto"/>
          </w:tcBorders>
          <w:vAlign w:val="bottom"/>
        </w:tcPr>
        <w:p w14:paraId="085A846B" w14:textId="77777777" w:rsidR="0039380A" w:rsidRPr="00ED4C2B" w:rsidRDefault="0039380A" w:rsidP="00C45221">
          <w:pPr>
            <w:spacing w:after="80" w:line="240" w:lineRule="auto"/>
            <w:jc w:val="right"/>
            <w:rPr>
              <w:position w:val="-4"/>
              <w:lang w:val="es-ES"/>
            </w:rPr>
          </w:pPr>
          <w:r w:rsidRPr="00ED4C2B">
            <w:rPr>
              <w:noProof/>
              <w:position w:val="-4"/>
              <w:sz w:val="40"/>
              <w:szCs w:val="40"/>
              <w:lang w:val="es-ES"/>
            </w:rPr>
            <w:t>CEDAW</w:t>
          </w:r>
          <w:r w:rsidRPr="00ED4C2B">
            <w:rPr>
              <w:noProof/>
              <w:position w:val="-4"/>
              <w:lang w:val="es-ES"/>
            </w:rPr>
            <w:t>/C/</w:t>
          </w:r>
          <w:r>
            <w:rPr>
              <w:noProof/>
              <w:position w:val="-4"/>
              <w:lang w:val="es-ES"/>
            </w:rPr>
            <w:t>PRY</w:t>
          </w:r>
          <w:r w:rsidRPr="00ED4C2B">
            <w:rPr>
              <w:noProof/>
              <w:position w:val="-4"/>
              <w:lang w:val="es-ES"/>
            </w:rPr>
            <w:t>/</w:t>
          </w:r>
          <w:r>
            <w:rPr>
              <w:noProof/>
              <w:position w:val="-4"/>
              <w:lang w:val="es-ES"/>
            </w:rPr>
            <w:t>CO/7</w:t>
          </w:r>
        </w:p>
      </w:tc>
    </w:tr>
    <w:tr w:rsidR="0039380A" w:rsidRPr="00203438" w14:paraId="15B602C8" w14:textId="77777777" w:rsidTr="000973A0">
      <w:trPr>
        <w:gridAfter w:val="1"/>
        <w:wAfter w:w="21" w:type="dxa"/>
        <w:trHeight w:hRule="exact" w:val="2880"/>
      </w:trPr>
      <w:tc>
        <w:tcPr>
          <w:tcW w:w="1267" w:type="dxa"/>
          <w:tcBorders>
            <w:top w:val="single" w:sz="4" w:space="0" w:color="auto"/>
            <w:bottom w:val="single" w:sz="12" w:space="0" w:color="auto"/>
          </w:tcBorders>
        </w:tcPr>
        <w:p w14:paraId="15EFA3E8" w14:textId="77777777" w:rsidR="0039380A" w:rsidRDefault="0039380A">
          <w:pPr>
            <w:pStyle w:val="Encabezado"/>
            <w:spacing w:before="120"/>
            <w:jc w:val="center"/>
          </w:pPr>
          <w:r>
            <w:rPr>
              <w:lang w:val="es-PY" w:eastAsia="es-PY"/>
            </w:rPr>
            <w:drawing>
              <wp:inline distT="0" distB="0" distL="0" distR="0" wp14:anchorId="343E52E6" wp14:editId="55FF15EC">
                <wp:extent cx="647065" cy="569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569595"/>
                        </a:xfrm>
                        <a:prstGeom prst="rect">
                          <a:avLst/>
                        </a:prstGeom>
                        <a:noFill/>
                        <a:ln>
                          <a:noFill/>
                        </a:ln>
                      </pic:spPr>
                    </pic:pic>
                  </a:graphicData>
                </a:graphic>
              </wp:inline>
            </w:drawing>
          </w:r>
        </w:p>
      </w:tc>
      <w:tc>
        <w:tcPr>
          <w:tcW w:w="5227" w:type="dxa"/>
          <w:gridSpan w:val="3"/>
          <w:tcBorders>
            <w:top w:val="single" w:sz="4" w:space="0" w:color="auto"/>
            <w:bottom w:val="single" w:sz="12" w:space="0" w:color="auto"/>
          </w:tcBorders>
        </w:tcPr>
        <w:p w14:paraId="256FA9D0" w14:textId="77777777" w:rsidR="0039380A" w:rsidRPr="00862864" w:rsidRDefault="0039380A" w:rsidP="00862864">
          <w:pPr>
            <w:suppressAutoHyphens w:val="0"/>
            <w:spacing w:before="120" w:line="380" w:lineRule="exact"/>
            <w:rPr>
              <w:b/>
              <w:spacing w:val="0"/>
              <w:w w:val="100"/>
              <w:kern w:val="0"/>
              <w:sz w:val="34"/>
              <w:szCs w:val="40"/>
              <w:lang w:val="es-ES"/>
            </w:rPr>
          </w:pPr>
          <w:r w:rsidRPr="00862864">
            <w:rPr>
              <w:b/>
              <w:spacing w:val="0"/>
              <w:w w:val="100"/>
              <w:kern w:val="0"/>
              <w:sz w:val="34"/>
              <w:szCs w:val="40"/>
              <w:lang w:val="es-ES"/>
            </w:rPr>
            <w:t xml:space="preserve">Convención sobre la Eliminación </w:t>
          </w:r>
          <w:r>
            <w:rPr>
              <w:b/>
              <w:spacing w:val="0"/>
              <w:w w:val="100"/>
              <w:kern w:val="0"/>
              <w:sz w:val="34"/>
              <w:szCs w:val="40"/>
              <w:lang w:val="es-ES"/>
            </w:rPr>
            <w:br/>
          </w:r>
          <w:r w:rsidRPr="00862864">
            <w:rPr>
              <w:b/>
              <w:spacing w:val="0"/>
              <w:w w:val="100"/>
              <w:kern w:val="0"/>
              <w:sz w:val="34"/>
              <w:szCs w:val="40"/>
              <w:lang w:val="es-ES"/>
            </w:rPr>
            <w:t>de Todas las Formas de Discriminación contra la Mujer</w:t>
          </w:r>
        </w:p>
      </w:tc>
      <w:tc>
        <w:tcPr>
          <w:tcW w:w="245" w:type="dxa"/>
          <w:tcBorders>
            <w:top w:val="single" w:sz="4" w:space="0" w:color="auto"/>
            <w:bottom w:val="single" w:sz="12" w:space="0" w:color="auto"/>
          </w:tcBorders>
        </w:tcPr>
        <w:p w14:paraId="47D262AF" w14:textId="77777777" w:rsidR="0039380A" w:rsidRDefault="0039380A">
          <w:pPr>
            <w:pStyle w:val="Encabezado"/>
            <w:spacing w:before="109"/>
          </w:pPr>
        </w:p>
      </w:tc>
      <w:tc>
        <w:tcPr>
          <w:tcW w:w="3140" w:type="dxa"/>
          <w:tcBorders>
            <w:top w:val="single" w:sz="4" w:space="0" w:color="auto"/>
            <w:bottom w:val="single" w:sz="12" w:space="0" w:color="auto"/>
          </w:tcBorders>
        </w:tcPr>
        <w:p w14:paraId="6D20B068" w14:textId="77777777" w:rsidR="0039380A" w:rsidRDefault="0039380A">
          <w:pPr>
            <w:pStyle w:val="Distribution"/>
            <w:rPr>
              <w:lang w:val="es-ES"/>
            </w:rPr>
          </w:pPr>
          <w:r>
            <w:rPr>
              <w:color w:val="010000"/>
              <w:lang w:val="es-ES"/>
            </w:rPr>
            <w:t>Distr. general</w:t>
          </w:r>
        </w:p>
        <w:p w14:paraId="1A1C8802" w14:textId="77777777" w:rsidR="0039380A" w:rsidRDefault="0039380A">
          <w:pPr>
            <w:pStyle w:val="Publication"/>
            <w:rPr>
              <w:color w:val="010000"/>
              <w:lang w:val="es-ES"/>
            </w:rPr>
          </w:pPr>
          <w:r>
            <w:rPr>
              <w:color w:val="010000"/>
              <w:lang w:val="es-ES"/>
            </w:rPr>
            <w:t>22</w:t>
          </w:r>
          <w:r w:rsidRPr="00691C0B">
            <w:rPr>
              <w:color w:val="010000"/>
              <w:lang w:val="es-ES"/>
            </w:rPr>
            <w:t xml:space="preserve"> de </w:t>
          </w:r>
          <w:r>
            <w:rPr>
              <w:color w:val="010000"/>
              <w:lang w:val="es-ES"/>
            </w:rPr>
            <w:t>noviembre</w:t>
          </w:r>
          <w:r w:rsidRPr="00691C0B">
            <w:rPr>
              <w:color w:val="010000"/>
              <w:lang w:val="es-ES"/>
            </w:rPr>
            <w:t xml:space="preserve"> de 2017</w:t>
          </w:r>
        </w:p>
        <w:p w14:paraId="539A82E0" w14:textId="77777777" w:rsidR="0039380A" w:rsidRPr="00B11E0C" w:rsidRDefault="0039380A">
          <w:pPr>
            <w:pStyle w:val="Original"/>
            <w:rPr>
              <w:lang w:val="es-ES"/>
            </w:rPr>
          </w:pPr>
          <w:r>
            <w:rPr>
              <w:color w:val="010000"/>
              <w:lang w:val="es-ES"/>
            </w:rPr>
            <w:t>Español</w:t>
          </w:r>
          <w:r>
            <w:rPr>
              <w:color w:val="010000"/>
              <w:lang w:val="es-ES"/>
            </w:rPr>
            <w:br/>
            <w:t>Original:</w:t>
          </w:r>
          <w:r w:rsidRPr="00B11E0C">
            <w:rPr>
              <w:color w:val="010000"/>
              <w:lang w:val="es-ES"/>
            </w:rPr>
            <w:t xml:space="preserve"> </w:t>
          </w:r>
          <w:r>
            <w:rPr>
              <w:color w:val="010000"/>
              <w:lang w:val="es-ES"/>
            </w:rPr>
            <w:t>inglés</w:t>
          </w:r>
        </w:p>
        <w:p w14:paraId="699BB685" w14:textId="77777777" w:rsidR="0039380A" w:rsidRPr="00B11E0C" w:rsidRDefault="0039380A">
          <w:pPr>
            <w:rPr>
              <w:lang w:val="es-ES"/>
            </w:rPr>
          </w:pPr>
        </w:p>
      </w:tc>
    </w:tr>
  </w:tbl>
  <w:p w14:paraId="02956CCE" w14:textId="77777777" w:rsidR="0039380A" w:rsidRDefault="0039380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35A0"/>
    <w:multiLevelType w:val="multilevel"/>
    <w:tmpl w:val="C988F3DE"/>
    <w:name w:val="TOC"/>
    <w:lvl w:ilvl="0">
      <w:start w:val="1"/>
      <w:numFmt w:val="decimal"/>
      <w:lvlText w:val="%1."/>
      <w:lvlJc w:val="right"/>
      <w:pPr>
        <w:tabs>
          <w:tab w:val="num" w:pos="1296"/>
        </w:tabs>
        <w:ind w:left="1296" w:hanging="216"/>
      </w:pPr>
      <w:rPr>
        <w:rFonts w:cs="Times New Roman" w:hint="default"/>
      </w:rPr>
    </w:lvl>
    <w:lvl w:ilvl="1">
      <w:start w:val="1"/>
      <w:numFmt w:val="upperLetter"/>
      <w:lvlText w:val="%2."/>
      <w:lvlJc w:val="left"/>
      <w:pPr>
        <w:tabs>
          <w:tab w:val="num" w:pos="1728"/>
        </w:tabs>
        <w:ind w:left="1728" w:hanging="432"/>
      </w:pPr>
      <w:rPr>
        <w:rFonts w:cs="Times New Roman" w:hint="default"/>
      </w:rPr>
    </w:lvl>
    <w:lvl w:ilvl="2">
      <w:start w:val="1"/>
      <w:numFmt w:val="decimal"/>
      <w:lvlText w:val="%3."/>
      <w:lvlJc w:val="left"/>
      <w:pPr>
        <w:tabs>
          <w:tab w:val="num" w:pos="2160"/>
        </w:tabs>
        <w:ind w:left="2160" w:hanging="432"/>
      </w:pPr>
      <w:rPr>
        <w:rFonts w:cs="Times New Roman" w:hint="default"/>
      </w:rPr>
    </w:lvl>
    <w:lvl w:ilvl="3">
      <w:start w:val="1"/>
      <w:numFmt w:val="lowerLetter"/>
      <w:lvlText w:val="(%4)"/>
      <w:lvlJc w:val="left"/>
      <w:pPr>
        <w:tabs>
          <w:tab w:val="num" w:pos="2592"/>
        </w:tabs>
        <w:ind w:left="2592" w:hanging="432"/>
      </w:pPr>
      <w:rPr>
        <w:rFonts w:cs="Times New Roman" w:hint="default"/>
      </w:rPr>
    </w:lvl>
    <w:lvl w:ilvl="4">
      <w:start w:val="1"/>
      <w:numFmt w:val="lowerRoman"/>
      <w:lvlText w:val="(%5)"/>
      <w:lvlJc w:val="left"/>
      <w:pPr>
        <w:tabs>
          <w:tab w:val="num" w:pos="3024"/>
        </w:tabs>
        <w:ind w:left="3024" w:hanging="432"/>
      </w:pPr>
      <w:rPr>
        <w:rFonts w:cs="Times New Roman" w:hint="default"/>
      </w:rPr>
    </w:lvl>
    <w:lvl w:ilvl="5">
      <w:start w:val="1"/>
      <w:numFmt w:val="bullet"/>
      <w:lvlText w:val=""/>
      <w:lvlJc w:val="left"/>
      <w:pPr>
        <w:tabs>
          <w:tab w:val="num" w:pos="3456"/>
        </w:tabs>
        <w:ind w:left="3456" w:hanging="432"/>
      </w:pPr>
      <w:rPr>
        <w:rFonts w:ascii="Symbol" w:hAnsi="Symbol"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1">
    <w:nsid w:val="277B5175"/>
    <w:multiLevelType w:val="hybridMultilevel"/>
    <w:tmpl w:val="41E424F8"/>
    <w:lvl w:ilvl="0" w:tplc="8CA8A9AE">
      <w:start w:val="1"/>
      <w:numFmt w:val="decimal"/>
      <w:lvlText w:val="%1."/>
      <w:lvlJc w:val="left"/>
      <w:pPr>
        <w:ind w:left="1987" w:hanging="360"/>
      </w:pPr>
      <w:rPr>
        <w:rFonts w:cs="Times New Roman"/>
        <w:b w:val="0"/>
      </w:rPr>
    </w:lvl>
    <w:lvl w:ilvl="1" w:tplc="0C0A0019" w:tentative="1">
      <w:start w:val="1"/>
      <w:numFmt w:val="lowerLetter"/>
      <w:lvlText w:val="%2."/>
      <w:lvlJc w:val="left"/>
      <w:pPr>
        <w:ind w:left="2707" w:hanging="360"/>
      </w:pPr>
      <w:rPr>
        <w:rFonts w:cs="Times New Roman"/>
      </w:rPr>
    </w:lvl>
    <w:lvl w:ilvl="2" w:tplc="0C0A001B" w:tentative="1">
      <w:start w:val="1"/>
      <w:numFmt w:val="lowerRoman"/>
      <w:lvlText w:val="%3."/>
      <w:lvlJc w:val="right"/>
      <w:pPr>
        <w:ind w:left="3427" w:hanging="180"/>
      </w:pPr>
      <w:rPr>
        <w:rFonts w:cs="Times New Roman"/>
      </w:rPr>
    </w:lvl>
    <w:lvl w:ilvl="3" w:tplc="0C0A000F" w:tentative="1">
      <w:start w:val="1"/>
      <w:numFmt w:val="decimal"/>
      <w:lvlText w:val="%4."/>
      <w:lvlJc w:val="left"/>
      <w:pPr>
        <w:ind w:left="4147" w:hanging="360"/>
      </w:pPr>
      <w:rPr>
        <w:rFonts w:cs="Times New Roman"/>
      </w:rPr>
    </w:lvl>
    <w:lvl w:ilvl="4" w:tplc="0C0A0019" w:tentative="1">
      <w:start w:val="1"/>
      <w:numFmt w:val="lowerLetter"/>
      <w:lvlText w:val="%5."/>
      <w:lvlJc w:val="left"/>
      <w:pPr>
        <w:ind w:left="4867" w:hanging="360"/>
      </w:pPr>
      <w:rPr>
        <w:rFonts w:cs="Times New Roman"/>
      </w:rPr>
    </w:lvl>
    <w:lvl w:ilvl="5" w:tplc="0C0A001B" w:tentative="1">
      <w:start w:val="1"/>
      <w:numFmt w:val="lowerRoman"/>
      <w:lvlText w:val="%6."/>
      <w:lvlJc w:val="right"/>
      <w:pPr>
        <w:ind w:left="5587" w:hanging="180"/>
      </w:pPr>
      <w:rPr>
        <w:rFonts w:cs="Times New Roman"/>
      </w:rPr>
    </w:lvl>
    <w:lvl w:ilvl="6" w:tplc="0C0A000F" w:tentative="1">
      <w:start w:val="1"/>
      <w:numFmt w:val="decimal"/>
      <w:lvlText w:val="%7."/>
      <w:lvlJc w:val="left"/>
      <w:pPr>
        <w:ind w:left="6307" w:hanging="360"/>
      </w:pPr>
      <w:rPr>
        <w:rFonts w:cs="Times New Roman"/>
      </w:rPr>
    </w:lvl>
    <w:lvl w:ilvl="7" w:tplc="0C0A0019" w:tentative="1">
      <w:start w:val="1"/>
      <w:numFmt w:val="lowerLetter"/>
      <w:lvlText w:val="%8."/>
      <w:lvlJc w:val="left"/>
      <w:pPr>
        <w:ind w:left="7027" w:hanging="360"/>
      </w:pPr>
      <w:rPr>
        <w:rFonts w:cs="Times New Roman"/>
      </w:rPr>
    </w:lvl>
    <w:lvl w:ilvl="8" w:tplc="0C0A001B" w:tentative="1">
      <w:start w:val="1"/>
      <w:numFmt w:val="lowerRoman"/>
      <w:lvlText w:val="%9."/>
      <w:lvlJc w:val="right"/>
      <w:pPr>
        <w:ind w:left="7747" w:hanging="180"/>
      </w:pPr>
      <w:rPr>
        <w:rFonts w:cs="Times New Roman"/>
      </w:rPr>
    </w:lvl>
  </w:abstractNum>
  <w:abstractNum w:abstractNumId="2">
    <w:nsid w:val="34E878E2"/>
    <w:multiLevelType w:val="hybridMultilevel"/>
    <w:tmpl w:val="EBF0DC2E"/>
    <w:lvl w:ilvl="0" w:tplc="151635A2">
      <w:start w:val="1"/>
      <w:numFmt w:val="bullet"/>
      <w:pStyle w:val="Bullet2"/>
      <w:lvlText w:val=""/>
      <w:lvlJc w:val="left"/>
      <w:pPr>
        <w:ind w:left="2447" w:hanging="360"/>
      </w:pPr>
      <w:rPr>
        <w:rFonts w:ascii="Symbol" w:hAnsi="Symbol" w:hint="default"/>
        <w:sz w:val="14"/>
      </w:rPr>
    </w:lvl>
    <w:lvl w:ilvl="1" w:tplc="04090003">
      <w:start w:val="1"/>
      <w:numFmt w:val="bullet"/>
      <w:lvlText w:val="o"/>
      <w:lvlJc w:val="left"/>
      <w:pPr>
        <w:ind w:left="3527" w:hanging="360"/>
      </w:pPr>
      <w:rPr>
        <w:rFonts w:ascii="Courier New" w:hAnsi="Courier New" w:hint="default"/>
      </w:rPr>
    </w:lvl>
    <w:lvl w:ilvl="2" w:tplc="04090005">
      <w:start w:val="1"/>
      <w:numFmt w:val="bullet"/>
      <w:lvlText w:val=""/>
      <w:lvlJc w:val="left"/>
      <w:pPr>
        <w:ind w:left="4247" w:hanging="360"/>
      </w:pPr>
      <w:rPr>
        <w:rFonts w:ascii="Wingdings" w:hAnsi="Wingdings" w:hint="default"/>
      </w:rPr>
    </w:lvl>
    <w:lvl w:ilvl="3" w:tplc="04090001">
      <w:start w:val="1"/>
      <w:numFmt w:val="bullet"/>
      <w:lvlText w:val=""/>
      <w:lvlJc w:val="left"/>
      <w:pPr>
        <w:ind w:left="4967" w:hanging="360"/>
      </w:pPr>
      <w:rPr>
        <w:rFonts w:ascii="Symbol" w:hAnsi="Symbol" w:hint="default"/>
      </w:rPr>
    </w:lvl>
    <w:lvl w:ilvl="4" w:tplc="04090003">
      <w:start w:val="1"/>
      <w:numFmt w:val="bullet"/>
      <w:lvlText w:val="o"/>
      <w:lvlJc w:val="left"/>
      <w:pPr>
        <w:ind w:left="5687" w:hanging="360"/>
      </w:pPr>
      <w:rPr>
        <w:rFonts w:ascii="Courier New" w:hAnsi="Courier New" w:hint="default"/>
      </w:rPr>
    </w:lvl>
    <w:lvl w:ilvl="5" w:tplc="04090005">
      <w:start w:val="1"/>
      <w:numFmt w:val="bullet"/>
      <w:lvlText w:val=""/>
      <w:lvlJc w:val="left"/>
      <w:pPr>
        <w:ind w:left="6407" w:hanging="360"/>
      </w:pPr>
      <w:rPr>
        <w:rFonts w:ascii="Wingdings" w:hAnsi="Wingdings" w:hint="default"/>
      </w:rPr>
    </w:lvl>
    <w:lvl w:ilvl="6" w:tplc="04090001">
      <w:start w:val="1"/>
      <w:numFmt w:val="bullet"/>
      <w:lvlText w:val=""/>
      <w:lvlJc w:val="left"/>
      <w:pPr>
        <w:ind w:left="7127" w:hanging="360"/>
      </w:pPr>
      <w:rPr>
        <w:rFonts w:ascii="Symbol" w:hAnsi="Symbol" w:hint="default"/>
      </w:rPr>
    </w:lvl>
    <w:lvl w:ilvl="7" w:tplc="04090003">
      <w:start w:val="1"/>
      <w:numFmt w:val="bullet"/>
      <w:lvlText w:val="o"/>
      <w:lvlJc w:val="left"/>
      <w:pPr>
        <w:ind w:left="7847" w:hanging="360"/>
      </w:pPr>
      <w:rPr>
        <w:rFonts w:ascii="Courier New" w:hAnsi="Courier New" w:hint="default"/>
      </w:rPr>
    </w:lvl>
    <w:lvl w:ilvl="8" w:tplc="04090005">
      <w:start w:val="1"/>
      <w:numFmt w:val="bullet"/>
      <w:lvlText w:val=""/>
      <w:lvlJc w:val="left"/>
      <w:pPr>
        <w:ind w:left="8567" w:hanging="360"/>
      </w:pPr>
      <w:rPr>
        <w:rFonts w:ascii="Wingdings" w:hAnsi="Wingdings" w:hint="default"/>
      </w:rPr>
    </w:lvl>
  </w:abstractNum>
  <w:abstractNum w:abstractNumId="3">
    <w:nsid w:val="3C456276"/>
    <w:multiLevelType w:val="hybridMultilevel"/>
    <w:tmpl w:val="19149710"/>
    <w:lvl w:ilvl="0" w:tplc="F4AAAF66">
      <w:start w:val="1"/>
      <w:numFmt w:val="bullet"/>
      <w:pStyle w:val="Bullet3"/>
      <w:lvlText w:val=""/>
      <w:lvlJc w:val="left"/>
      <w:pPr>
        <w:ind w:left="3283" w:hanging="360"/>
      </w:pPr>
      <w:rPr>
        <w:rFonts w:ascii="Symbol" w:hAnsi="Symbol" w:hint="default"/>
        <w:sz w:val="14"/>
      </w:rPr>
    </w:lvl>
    <w:lvl w:ilvl="1" w:tplc="08090003">
      <w:start w:val="1"/>
      <w:numFmt w:val="bullet"/>
      <w:lvlText w:val="o"/>
      <w:lvlJc w:val="left"/>
      <w:pPr>
        <w:ind w:left="4003" w:hanging="360"/>
      </w:pPr>
      <w:rPr>
        <w:rFonts w:ascii="Courier New" w:hAnsi="Courier New" w:hint="default"/>
      </w:rPr>
    </w:lvl>
    <w:lvl w:ilvl="2" w:tplc="08090005">
      <w:start w:val="1"/>
      <w:numFmt w:val="bullet"/>
      <w:lvlText w:val=""/>
      <w:lvlJc w:val="left"/>
      <w:pPr>
        <w:ind w:left="4723" w:hanging="360"/>
      </w:pPr>
      <w:rPr>
        <w:rFonts w:ascii="Wingdings" w:hAnsi="Wingdings" w:hint="default"/>
      </w:rPr>
    </w:lvl>
    <w:lvl w:ilvl="3" w:tplc="08090001">
      <w:start w:val="1"/>
      <w:numFmt w:val="bullet"/>
      <w:lvlText w:val=""/>
      <w:lvlJc w:val="left"/>
      <w:pPr>
        <w:ind w:left="5443" w:hanging="360"/>
      </w:pPr>
      <w:rPr>
        <w:rFonts w:ascii="Symbol" w:hAnsi="Symbol" w:hint="default"/>
      </w:rPr>
    </w:lvl>
    <w:lvl w:ilvl="4" w:tplc="08090003">
      <w:start w:val="1"/>
      <w:numFmt w:val="bullet"/>
      <w:lvlText w:val="o"/>
      <w:lvlJc w:val="left"/>
      <w:pPr>
        <w:ind w:left="6163" w:hanging="360"/>
      </w:pPr>
      <w:rPr>
        <w:rFonts w:ascii="Courier New" w:hAnsi="Courier New" w:hint="default"/>
      </w:rPr>
    </w:lvl>
    <w:lvl w:ilvl="5" w:tplc="08090005">
      <w:start w:val="1"/>
      <w:numFmt w:val="bullet"/>
      <w:lvlText w:val=""/>
      <w:lvlJc w:val="left"/>
      <w:pPr>
        <w:ind w:left="6883" w:hanging="360"/>
      </w:pPr>
      <w:rPr>
        <w:rFonts w:ascii="Wingdings" w:hAnsi="Wingdings" w:hint="default"/>
      </w:rPr>
    </w:lvl>
    <w:lvl w:ilvl="6" w:tplc="08090001">
      <w:start w:val="1"/>
      <w:numFmt w:val="bullet"/>
      <w:lvlText w:val=""/>
      <w:lvlJc w:val="left"/>
      <w:pPr>
        <w:ind w:left="7603" w:hanging="360"/>
      </w:pPr>
      <w:rPr>
        <w:rFonts w:ascii="Symbol" w:hAnsi="Symbol" w:hint="default"/>
      </w:rPr>
    </w:lvl>
    <w:lvl w:ilvl="7" w:tplc="08090003">
      <w:start w:val="1"/>
      <w:numFmt w:val="bullet"/>
      <w:lvlText w:val="o"/>
      <w:lvlJc w:val="left"/>
      <w:pPr>
        <w:ind w:left="8323" w:hanging="360"/>
      </w:pPr>
      <w:rPr>
        <w:rFonts w:ascii="Courier New" w:hAnsi="Courier New" w:hint="default"/>
      </w:rPr>
    </w:lvl>
    <w:lvl w:ilvl="8" w:tplc="08090005">
      <w:start w:val="1"/>
      <w:numFmt w:val="bullet"/>
      <w:lvlText w:val=""/>
      <w:lvlJc w:val="left"/>
      <w:pPr>
        <w:ind w:left="9043" w:hanging="360"/>
      </w:pPr>
      <w:rPr>
        <w:rFonts w:ascii="Wingdings" w:hAnsi="Wingdings" w:hint="default"/>
      </w:rPr>
    </w:lvl>
  </w:abstractNum>
  <w:abstractNum w:abstractNumId="4">
    <w:nsid w:val="64F14A04"/>
    <w:multiLevelType w:val="hybridMultilevel"/>
    <w:tmpl w:val="0F8E0BF2"/>
    <w:lvl w:ilvl="0" w:tplc="F404D8B4">
      <w:start w:val="1"/>
      <w:numFmt w:val="bullet"/>
      <w:pStyle w:val="Bullet1"/>
      <w:lvlText w:val=""/>
      <w:lvlJc w:val="left"/>
      <w:pPr>
        <w:ind w:left="1976" w:hanging="360"/>
      </w:pPr>
      <w:rPr>
        <w:rFonts w:ascii="Symbol" w:hAnsi="Symbol" w:hint="default"/>
        <w:sz w:val="14"/>
      </w:rPr>
    </w:lvl>
    <w:lvl w:ilvl="1" w:tplc="04090003">
      <w:start w:val="1"/>
      <w:numFmt w:val="bullet"/>
      <w:lvlText w:val="o"/>
      <w:lvlJc w:val="left"/>
      <w:pPr>
        <w:ind w:left="3056" w:hanging="360"/>
      </w:pPr>
      <w:rPr>
        <w:rFonts w:ascii="Courier New" w:hAnsi="Courier New" w:hint="default"/>
      </w:rPr>
    </w:lvl>
    <w:lvl w:ilvl="2" w:tplc="04090005">
      <w:start w:val="1"/>
      <w:numFmt w:val="bullet"/>
      <w:lvlText w:val=""/>
      <w:lvlJc w:val="left"/>
      <w:pPr>
        <w:ind w:left="3776" w:hanging="360"/>
      </w:pPr>
      <w:rPr>
        <w:rFonts w:ascii="Wingdings" w:hAnsi="Wingdings" w:hint="default"/>
      </w:rPr>
    </w:lvl>
    <w:lvl w:ilvl="3" w:tplc="04090001">
      <w:start w:val="1"/>
      <w:numFmt w:val="bullet"/>
      <w:lvlText w:val=""/>
      <w:lvlJc w:val="left"/>
      <w:pPr>
        <w:ind w:left="4496" w:hanging="360"/>
      </w:pPr>
      <w:rPr>
        <w:rFonts w:ascii="Symbol" w:hAnsi="Symbol" w:hint="default"/>
      </w:rPr>
    </w:lvl>
    <w:lvl w:ilvl="4" w:tplc="04090003">
      <w:start w:val="1"/>
      <w:numFmt w:val="bullet"/>
      <w:lvlText w:val="o"/>
      <w:lvlJc w:val="left"/>
      <w:pPr>
        <w:ind w:left="5216" w:hanging="360"/>
      </w:pPr>
      <w:rPr>
        <w:rFonts w:ascii="Courier New" w:hAnsi="Courier New" w:hint="default"/>
      </w:rPr>
    </w:lvl>
    <w:lvl w:ilvl="5" w:tplc="04090005">
      <w:start w:val="1"/>
      <w:numFmt w:val="bullet"/>
      <w:lvlText w:val=""/>
      <w:lvlJc w:val="left"/>
      <w:pPr>
        <w:ind w:left="5936" w:hanging="360"/>
      </w:pPr>
      <w:rPr>
        <w:rFonts w:ascii="Wingdings" w:hAnsi="Wingdings" w:hint="default"/>
      </w:rPr>
    </w:lvl>
    <w:lvl w:ilvl="6" w:tplc="04090001">
      <w:start w:val="1"/>
      <w:numFmt w:val="bullet"/>
      <w:lvlText w:val=""/>
      <w:lvlJc w:val="left"/>
      <w:pPr>
        <w:ind w:left="6656" w:hanging="360"/>
      </w:pPr>
      <w:rPr>
        <w:rFonts w:ascii="Symbol" w:hAnsi="Symbol" w:hint="default"/>
      </w:rPr>
    </w:lvl>
    <w:lvl w:ilvl="7" w:tplc="04090003">
      <w:start w:val="1"/>
      <w:numFmt w:val="bullet"/>
      <w:lvlText w:val="o"/>
      <w:lvlJc w:val="left"/>
      <w:pPr>
        <w:ind w:left="7376" w:hanging="360"/>
      </w:pPr>
      <w:rPr>
        <w:rFonts w:ascii="Courier New" w:hAnsi="Courier New" w:hint="default"/>
      </w:rPr>
    </w:lvl>
    <w:lvl w:ilvl="8" w:tplc="04090005">
      <w:start w:val="1"/>
      <w:numFmt w:val="bullet"/>
      <w:lvlText w:val=""/>
      <w:lvlJc w:val="left"/>
      <w:pPr>
        <w:ind w:left="8096"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20380*"/>
    <w:docVar w:name="jobn" w:val="17-20380 (S)"/>
    <w:docVar w:name="JobNo" w:val="1720380S"/>
    <w:docVar w:name="ODSRefJobNo" w:val="1739459S"/>
    <w:docVar w:name="sss1" w:val="CEDAW/C/PRY/CO/7"/>
    <w:docVar w:name="sss2" w:val="-"/>
  </w:docVars>
  <w:rsids>
    <w:rsidRoot w:val="0056215F"/>
    <w:rsid w:val="00000FA2"/>
    <w:rsid w:val="000015D7"/>
    <w:rsid w:val="0000301C"/>
    <w:rsid w:val="000044BD"/>
    <w:rsid w:val="00006ABE"/>
    <w:rsid w:val="00010CB2"/>
    <w:rsid w:val="00011F66"/>
    <w:rsid w:val="000130C5"/>
    <w:rsid w:val="000134E2"/>
    <w:rsid w:val="000137FE"/>
    <w:rsid w:val="00013C9F"/>
    <w:rsid w:val="000156C9"/>
    <w:rsid w:val="0001793F"/>
    <w:rsid w:val="00021540"/>
    <w:rsid w:val="000226FD"/>
    <w:rsid w:val="00023BDE"/>
    <w:rsid w:val="000243C1"/>
    <w:rsid w:val="00024B08"/>
    <w:rsid w:val="00024E5A"/>
    <w:rsid w:val="00025848"/>
    <w:rsid w:val="000258AB"/>
    <w:rsid w:val="00027828"/>
    <w:rsid w:val="000308AA"/>
    <w:rsid w:val="00031362"/>
    <w:rsid w:val="00032100"/>
    <w:rsid w:val="0003242E"/>
    <w:rsid w:val="000329BC"/>
    <w:rsid w:val="00034259"/>
    <w:rsid w:val="00037294"/>
    <w:rsid w:val="000405A7"/>
    <w:rsid w:val="00040A59"/>
    <w:rsid w:val="00041883"/>
    <w:rsid w:val="00041CAB"/>
    <w:rsid w:val="000453D3"/>
    <w:rsid w:val="00045480"/>
    <w:rsid w:val="00045DEF"/>
    <w:rsid w:val="000460A8"/>
    <w:rsid w:val="00047F6D"/>
    <w:rsid w:val="000509B8"/>
    <w:rsid w:val="00051981"/>
    <w:rsid w:val="00051D6F"/>
    <w:rsid w:val="00052994"/>
    <w:rsid w:val="00054828"/>
    <w:rsid w:val="0005594B"/>
    <w:rsid w:val="00056CC8"/>
    <w:rsid w:val="00057F15"/>
    <w:rsid w:val="00057FD3"/>
    <w:rsid w:val="00060FB4"/>
    <w:rsid w:val="00062E0F"/>
    <w:rsid w:val="000649FC"/>
    <w:rsid w:val="00065952"/>
    <w:rsid w:val="0006620A"/>
    <w:rsid w:val="00066C39"/>
    <w:rsid w:val="00070481"/>
    <w:rsid w:val="00070D7C"/>
    <w:rsid w:val="00073B00"/>
    <w:rsid w:val="00075E3E"/>
    <w:rsid w:val="00076050"/>
    <w:rsid w:val="00076459"/>
    <w:rsid w:val="0007729C"/>
    <w:rsid w:val="00077C68"/>
    <w:rsid w:val="00077DB0"/>
    <w:rsid w:val="00080953"/>
    <w:rsid w:val="00081CC0"/>
    <w:rsid w:val="000820B0"/>
    <w:rsid w:val="000873DA"/>
    <w:rsid w:val="0009142F"/>
    <w:rsid w:val="00092653"/>
    <w:rsid w:val="000930EA"/>
    <w:rsid w:val="00094436"/>
    <w:rsid w:val="000950BC"/>
    <w:rsid w:val="00095653"/>
    <w:rsid w:val="00096611"/>
    <w:rsid w:val="000973A0"/>
    <w:rsid w:val="000A1401"/>
    <w:rsid w:val="000A1601"/>
    <w:rsid w:val="000A1DE2"/>
    <w:rsid w:val="000A455D"/>
    <w:rsid w:val="000B2AB1"/>
    <w:rsid w:val="000B2C6A"/>
    <w:rsid w:val="000B407F"/>
    <w:rsid w:val="000B5343"/>
    <w:rsid w:val="000B6F32"/>
    <w:rsid w:val="000B6FF5"/>
    <w:rsid w:val="000B7349"/>
    <w:rsid w:val="000C0792"/>
    <w:rsid w:val="000C30BC"/>
    <w:rsid w:val="000C4942"/>
    <w:rsid w:val="000C49BE"/>
    <w:rsid w:val="000C659B"/>
    <w:rsid w:val="000C676D"/>
    <w:rsid w:val="000D07EC"/>
    <w:rsid w:val="000D1D93"/>
    <w:rsid w:val="000D24F2"/>
    <w:rsid w:val="000D3616"/>
    <w:rsid w:val="000D4520"/>
    <w:rsid w:val="000D7435"/>
    <w:rsid w:val="000D7DC3"/>
    <w:rsid w:val="000E098E"/>
    <w:rsid w:val="000E3AD3"/>
    <w:rsid w:val="000E3E97"/>
    <w:rsid w:val="000E413B"/>
    <w:rsid w:val="000E454F"/>
    <w:rsid w:val="000E4DB4"/>
    <w:rsid w:val="000E578F"/>
    <w:rsid w:val="000E6736"/>
    <w:rsid w:val="000E7174"/>
    <w:rsid w:val="000E7902"/>
    <w:rsid w:val="000E7960"/>
    <w:rsid w:val="000F0681"/>
    <w:rsid w:val="000F0730"/>
    <w:rsid w:val="000F09C2"/>
    <w:rsid w:val="000F0FA4"/>
    <w:rsid w:val="000F191E"/>
    <w:rsid w:val="000F1CED"/>
    <w:rsid w:val="000F2DE4"/>
    <w:rsid w:val="000F5752"/>
    <w:rsid w:val="000F6381"/>
    <w:rsid w:val="000F6E1A"/>
    <w:rsid w:val="00100AE2"/>
    <w:rsid w:val="00100B22"/>
    <w:rsid w:val="00102626"/>
    <w:rsid w:val="001026A3"/>
    <w:rsid w:val="00103408"/>
    <w:rsid w:val="00103E5C"/>
    <w:rsid w:val="00104C2F"/>
    <w:rsid w:val="00104FC0"/>
    <w:rsid w:val="00105026"/>
    <w:rsid w:val="00105C9B"/>
    <w:rsid w:val="001065F1"/>
    <w:rsid w:val="00107D5F"/>
    <w:rsid w:val="0011019F"/>
    <w:rsid w:val="00110D7E"/>
    <w:rsid w:val="001115D1"/>
    <w:rsid w:val="00111F5A"/>
    <w:rsid w:val="0011241F"/>
    <w:rsid w:val="00112598"/>
    <w:rsid w:val="00113764"/>
    <w:rsid w:val="00114F9E"/>
    <w:rsid w:val="0011565A"/>
    <w:rsid w:val="001158C0"/>
    <w:rsid w:val="00117BB8"/>
    <w:rsid w:val="0012032E"/>
    <w:rsid w:val="00120862"/>
    <w:rsid w:val="001208CF"/>
    <w:rsid w:val="001223CB"/>
    <w:rsid w:val="00122FEC"/>
    <w:rsid w:val="00126361"/>
    <w:rsid w:val="0012652C"/>
    <w:rsid w:val="00127234"/>
    <w:rsid w:val="001300B9"/>
    <w:rsid w:val="00130CCC"/>
    <w:rsid w:val="00131771"/>
    <w:rsid w:val="00131E97"/>
    <w:rsid w:val="0013254D"/>
    <w:rsid w:val="00132F77"/>
    <w:rsid w:val="0013504C"/>
    <w:rsid w:val="00135DA1"/>
    <w:rsid w:val="00136ECF"/>
    <w:rsid w:val="00145F81"/>
    <w:rsid w:val="00146E4B"/>
    <w:rsid w:val="001477DE"/>
    <w:rsid w:val="001505B6"/>
    <w:rsid w:val="00151777"/>
    <w:rsid w:val="00152C51"/>
    <w:rsid w:val="001531AF"/>
    <w:rsid w:val="00153789"/>
    <w:rsid w:val="00154A7D"/>
    <w:rsid w:val="00154D37"/>
    <w:rsid w:val="001575F0"/>
    <w:rsid w:val="001605CF"/>
    <w:rsid w:val="0016213B"/>
    <w:rsid w:val="00163673"/>
    <w:rsid w:val="00164757"/>
    <w:rsid w:val="00164BCE"/>
    <w:rsid w:val="00164D53"/>
    <w:rsid w:val="001652E9"/>
    <w:rsid w:val="001653FB"/>
    <w:rsid w:val="00165B98"/>
    <w:rsid w:val="00165CBD"/>
    <w:rsid w:val="00167A44"/>
    <w:rsid w:val="00167CE9"/>
    <w:rsid w:val="00172412"/>
    <w:rsid w:val="00172B60"/>
    <w:rsid w:val="0017380E"/>
    <w:rsid w:val="00174504"/>
    <w:rsid w:val="001745C0"/>
    <w:rsid w:val="001770D1"/>
    <w:rsid w:val="001801E4"/>
    <w:rsid w:val="001809B5"/>
    <w:rsid w:val="00181342"/>
    <w:rsid w:val="00182B15"/>
    <w:rsid w:val="00182D34"/>
    <w:rsid w:val="00182F11"/>
    <w:rsid w:val="00184193"/>
    <w:rsid w:val="00184809"/>
    <w:rsid w:val="00184C73"/>
    <w:rsid w:val="001917A6"/>
    <w:rsid w:val="00191E88"/>
    <w:rsid w:val="0019245C"/>
    <w:rsid w:val="00192845"/>
    <w:rsid w:val="00192FC2"/>
    <w:rsid w:val="0019362C"/>
    <w:rsid w:val="001936F0"/>
    <w:rsid w:val="001947AD"/>
    <w:rsid w:val="00194CD0"/>
    <w:rsid w:val="00195AEB"/>
    <w:rsid w:val="00196A9E"/>
    <w:rsid w:val="00197346"/>
    <w:rsid w:val="001A06E7"/>
    <w:rsid w:val="001A077F"/>
    <w:rsid w:val="001A1C7F"/>
    <w:rsid w:val="001A1DC8"/>
    <w:rsid w:val="001A3BE9"/>
    <w:rsid w:val="001A4034"/>
    <w:rsid w:val="001A527F"/>
    <w:rsid w:val="001A5D2D"/>
    <w:rsid w:val="001A5D75"/>
    <w:rsid w:val="001A6BBE"/>
    <w:rsid w:val="001B071E"/>
    <w:rsid w:val="001B0B41"/>
    <w:rsid w:val="001B1926"/>
    <w:rsid w:val="001B1FD5"/>
    <w:rsid w:val="001B2793"/>
    <w:rsid w:val="001B2AEA"/>
    <w:rsid w:val="001B3651"/>
    <w:rsid w:val="001B3D4D"/>
    <w:rsid w:val="001B54FB"/>
    <w:rsid w:val="001B5845"/>
    <w:rsid w:val="001B5E9D"/>
    <w:rsid w:val="001B6CFE"/>
    <w:rsid w:val="001B7446"/>
    <w:rsid w:val="001B74B6"/>
    <w:rsid w:val="001B7AA8"/>
    <w:rsid w:val="001C0012"/>
    <w:rsid w:val="001C155E"/>
    <w:rsid w:val="001C1D0F"/>
    <w:rsid w:val="001C266D"/>
    <w:rsid w:val="001C26F7"/>
    <w:rsid w:val="001C5625"/>
    <w:rsid w:val="001C5971"/>
    <w:rsid w:val="001C7E54"/>
    <w:rsid w:val="001D1351"/>
    <w:rsid w:val="001D140A"/>
    <w:rsid w:val="001D1798"/>
    <w:rsid w:val="001D1F8D"/>
    <w:rsid w:val="001D4790"/>
    <w:rsid w:val="001D5FF9"/>
    <w:rsid w:val="001D674D"/>
    <w:rsid w:val="001D6CB7"/>
    <w:rsid w:val="001D7216"/>
    <w:rsid w:val="001E06EC"/>
    <w:rsid w:val="001E077C"/>
    <w:rsid w:val="001E0B55"/>
    <w:rsid w:val="001E2717"/>
    <w:rsid w:val="001E3499"/>
    <w:rsid w:val="001E4D56"/>
    <w:rsid w:val="001E5AE9"/>
    <w:rsid w:val="001E6CDB"/>
    <w:rsid w:val="001E6F8E"/>
    <w:rsid w:val="001E6FE2"/>
    <w:rsid w:val="001E7805"/>
    <w:rsid w:val="001F08CE"/>
    <w:rsid w:val="001F167E"/>
    <w:rsid w:val="001F2BDA"/>
    <w:rsid w:val="001F2E45"/>
    <w:rsid w:val="001F5923"/>
    <w:rsid w:val="001F5AEA"/>
    <w:rsid w:val="001F5FE7"/>
    <w:rsid w:val="001F670D"/>
    <w:rsid w:val="001F6818"/>
    <w:rsid w:val="001F6E66"/>
    <w:rsid w:val="001F78BC"/>
    <w:rsid w:val="001F7C50"/>
    <w:rsid w:val="001F7CCF"/>
    <w:rsid w:val="0020186B"/>
    <w:rsid w:val="00202962"/>
    <w:rsid w:val="00203422"/>
    <w:rsid w:val="00203438"/>
    <w:rsid w:val="00203A1A"/>
    <w:rsid w:val="00204227"/>
    <w:rsid w:val="00207D01"/>
    <w:rsid w:val="00210D7F"/>
    <w:rsid w:val="002119AE"/>
    <w:rsid w:val="00211F3F"/>
    <w:rsid w:val="00213104"/>
    <w:rsid w:val="00213CD8"/>
    <w:rsid w:val="002141E3"/>
    <w:rsid w:val="002148DC"/>
    <w:rsid w:val="00217415"/>
    <w:rsid w:val="002179A1"/>
    <w:rsid w:val="00217D97"/>
    <w:rsid w:val="0022004C"/>
    <w:rsid w:val="002206B4"/>
    <w:rsid w:val="00221573"/>
    <w:rsid w:val="00221C16"/>
    <w:rsid w:val="00222AD1"/>
    <w:rsid w:val="00222D9B"/>
    <w:rsid w:val="0022370B"/>
    <w:rsid w:val="00223E81"/>
    <w:rsid w:val="00225801"/>
    <w:rsid w:val="00225B63"/>
    <w:rsid w:val="002310B7"/>
    <w:rsid w:val="00231747"/>
    <w:rsid w:val="00231B68"/>
    <w:rsid w:val="00232F19"/>
    <w:rsid w:val="00233409"/>
    <w:rsid w:val="002339E2"/>
    <w:rsid w:val="00234170"/>
    <w:rsid w:val="002346A6"/>
    <w:rsid w:val="00234C5B"/>
    <w:rsid w:val="00236DA6"/>
    <w:rsid w:val="00236E6D"/>
    <w:rsid w:val="00237ED9"/>
    <w:rsid w:val="00240E5F"/>
    <w:rsid w:val="00243655"/>
    <w:rsid w:val="002448F7"/>
    <w:rsid w:val="002453F5"/>
    <w:rsid w:val="00246417"/>
    <w:rsid w:val="00246892"/>
    <w:rsid w:val="00247E83"/>
    <w:rsid w:val="002508E9"/>
    <w:rsid w:val="00251A44"/>
    <w:rsid w:val="00251DDD"/>
    <w:rsid w:val="00253D26"/>
    <w:rsid w:val="00253F83"/>
    <w:rsid w:val="00254277"/>
    <w:rsid w:val="002549C4"/>
    <w:rsid w:val="00255264"/>
    <w:rsid w:val="002554B9"/>
    <w:rsid w:val="00255F10"/>
    <w:rsid w:val="00256A49"/>
    <w:rsid w:val="0025759D"/>
    <w:rsid w:val="00261D48"/>
    <w:rsid w:val="00261FDB"/>
    <w:rsid w:val="00264279"/>
    <w:rsid w:val="002665CB"/>
    <w:rsid w:val="002704B6"/>
    <w:rsid w:val="002706D6"/>
    <w:rsid w:val="002713B7"/>
    <w:rsid w:val="0027290F"/>
    <w:rsid w:val="002741C3"/>
    <w:rsid w:val="00274B66"/>
    <w:rsid w:val="00274BA3"/>
    <w:rsid w:val="00275106"/>
    <w:rsid w:val="00275598"/>
    <w:rsid w:val="00276B79"/>
    <w:rsid w:val="002813E6"/>
    <w:rsid w:val="00281885"/>
    <w:rsid w:val="0028266B"/>
    <w:rsid w:val="00284AF2"/>
    <w:rsid w:val="002853D5"/>
    <w:rsid w:val="002877DA"/>
    <w:rsid w:val="00287926"/>
    <w:rsid w:val="00287D43"/>
    <w:rsid w:val="002901C3"/>
    <w:rsid w:val="00290C42"/>
    <w:rsid w:val="002939E8"/>
    <w:rsid w:val="00294980"/>
    <w:rsid w:val="0029552C"/>
    <w:rsid w:val="00296E6C"/>
    <w:rsid w:val="002972CA"/>
    <w:rsid w:val="002A2A24"/>
    <w:rsid w:val="002A363B"/>
    <w:rsid w:val="002A46FA"/>
    <w:rsid w:val="002A5739"/>
    <w:rsid w:val="002A5D97"/>
    <w:rsid w:val="002A5DBE"/>
    <w:rsid w:val="002A6C02"/>
    <w:rsid w:val="002A7247"/>
    <w:rsid w:val="002B0165"/>
    <w:rsid w:val="002B0DEC"/>
    <w:rsid w:val="002B1614"/>
    <w:rsid w:val="002B4B8E"/>
    <w:rsid w:val="002B649C"/>
    <w:rsid w:val="002B67EC"/>
    <w:rsid w:val="002B6C6C"/>
    <w:rsid w:val="002B77DF"/>
    <w:rsid w:val="002C0552"/>
    <w:rsid w:val="002C12A1"/>
    <w:rsid w:val="002C171C"/>
    <w:rsid w:val="002C2E6F"/>
    <w:rsid w:val="002C3AE4"/>
    <w:rsid w:val="002C4828"/>
    <w:rsid w:val="002C53F1"/>
    <w:rsid w:val="002C69A3"/>
    <w:rsid w:val="002D0A3F"/>
    <w:rsid w:val="002D25CC"/>
    <w:rsid w:val="002D4228"/>
    <w:rsid w:val="002D4776"/>
    <w:rsid w:val="002D5B9D"/>
    <w:rsid w:val="002E1A4F"/>
    <w:rsid w:val="002E1C17"/>
    <w:rsid w:val="002E201C"/>
    <w:rsid w:val="002E5492"/>
    <w:rsid w:val="002E7009"/>
    <w:rsid w:val="002E7762"/>
    <w:rsid w:val="002F0184"/>
    <w:rsid w:val="002F0531"/>
    <w:rsid w:val="002F0B71"/>
    <w:rsid w:val="002F0B79"/>
    <w:rsid w:val="002F1215"/>
    <w:rsid w:val="002F5FAC"/>
    <w:rsid w:val="002F7170"/>
    <w:rsid w:val="00300297"/>
    <w:rsid w:val="00300776"/>
    <w:rsid w:val="00303242"/>
    <w:rsid w:val="00306640"/>
    <w:rsid w:val="0030669C"/>
    <w:rsid w:val="00312D4B"/>
    <w:rsid w:val="003147FC"/>
    <w:rsid w:val="00314F83"/>
    <w:rsid w:val="00316C23"/>
    <w:rsid w:val="00320E1B"/>
    <w:rsid w:val="00321305"/>
    <w:rsid w:val="00321A47"/>
    <w:rsid w:val="00322E87"/>
    <w:rsid w:val="00323CF9"/>
    <w:rsid w:val="00323E9C"/>
    <w:rsid w:val="00323EEB"/>
    <w:rsid w:val="003245CB"/>
    <w:rsid w:val="003268E2"/>
    <w:rsid w:val="00326A29"/>
    <w:rsid w:val="0032749A"/>
    <w:rsid w:val="00327EBA"/>
    <w:rsid w:val="003302D1"/>
    <w:rsid w:val="003307FA"/>
    <w:rsid w:val="00331963"/>
    <w:rsid w:val="00331C78"/>
    <w:rsid w:val="00332088"/>
    <w:rsid w:val="003345CC"/>
    <w:rsid w:val="00340230"/>
    <w:rsid w:val="00340C1F"/>
    <w:rsid w:val="00341AF8"/>
    <w:rsid w:val="00343E74"/>
    <w:rsid w:val="00343FEC"/>
    <w:rsid w:val="00345291"/>
    <w:rsid w:val="003464E2"/>
    <w:rsid w:val="003466DC"/>
    <w:rsid w:val="003471DC"/>
    <w:rsid w:val="00347A79"/>
    <w:rsid w:val="00347DD3"/>
    <w:rsid w:val="00350876"/>
    <w:rsid w:val="00352A6C"/>
    <w:rsid w:val="00353A06"/>
    <w:rsid w:val="003556E1"/>
    <w:rsid w:val="00357410"/>
    <w:rsid w:val="00357AA1"/>
    <w:rsid w:val="00361ECB"/>
    <w:rsid w:val="003635B1"/>
    <w:rsid w:val="00363B13"/>
    <w:rsid w:val="003643FB"/>
    <w:rsid w:val="00364F28"/>
    <w:rsid w:val="00365017"/>
    <w:rsid w:val="00366102"/>
    <w:rsid w:val="00370AA7"/>
    <w:rsid w:val="00371892"/>
    <w:rsid w:val="00371BC1"/>
    <w:rsid w:val="003769DF"/>
    <w:rsid w:val="00376C4C"/>
    <w:rsid w:val="003774A9"/>
    <w:rsid w:val="0037786A"/>
    <w:rsid w:val="00383922"/>
    <w:rsid w:val="00384763"/>
    <w:rsid w:val="0038518C"/>
    <w:rsid w:val="00387FE0"/>
    <w:rsid w:val="0039024C"/>
    <w:rsid w:val="00391F54"/>
    <w:rsid w:val="00392746"/>
    <w:rsid w:val="003928D1"/>
    <w:rsid w:val="00392946"/>
    <w:rsid w:val="0039380A"/>
    <w:rsid w:val="003946DD"/>
    <w:rsid w:val="00395DFD"/>
    <w:rsid w:val="003A09C3"/>
    <w:rsid w:val="003A5087"/>
    <w:rsid w:val="003A6507"/>
    <w:rsid w:val="003A7B35"/>
    <w:rsid w:val="003B05A0"/>
    <w:rsid w:val="003B0DE7"/>
    <w:rsid w:val="003B102B"/>
    <w:rsid w:val="003B3DB5"/>
    <w:rsid w:val="003B6918"/>
    <w:rsid w:val="003B6A8B"/>
    <w:rsid w:val="003C05E2"/>
    <w:rsid w:val="003C0D55"/>
    <w:rsid w:val="003C0FE2"/>
    <w:rsid w:val="003C15C1"/>
    <w:rsid w:val="003C3A7D"/>
    <w:rsid w:val="003C42F4"/>
    <w:rsid w:val="003C43F7"/>
    <w:rsid w:val="003C4BDE"/>
    <w:rsid w:val="003C7C55"/>
    <w:rsid w:val="003D0ED4"/>
    <w:rsid w:val="003D1038"/>
    <w:rsid w:val="003D157E"/>
    <w:rsid w:val="003D427B"/>
    <w:rsid w:val="003D5797"/>
    <w:rsid w:val="003D615F"/>
    <w:rsid w:val="003D7F08"/>
    <w:rsid w:val="003E0614"/>
    <w:rsid w:val="003E0D98"/>
    <w:rsid w:val="003E7000"/>
    <w:rsid w:val="003E72BD"/>
    <w:rsid w:val="003E78BF"/>
    <w:rsid w:val="003F1E2B"/>
    <w:rsid w:val="003F49AB"/>
    <w:rsid w:val="003F4BE3"/>
    <w:rsid w:val="003F4EDB"/>
    <w:rsid w:val="003F5778"/>
    <w:rsid w:val="003F6918"/>
    <w:rsid w:val="003F6ACC"/>
    <w:rsid w:val="003F7EC3"/>
    <w:rsid w:val="00401E19"/>
    <w:rsid w:val="00403641"/>
    <w:rsid w:val="0040560E"/>
    <w:rsid w:val="00405629"/>
    <w:rsid w:val="00407301"/>
    <w:rsid w:val="00410A02"/>
    <w:rsid w:val="00411C7D"/>
    <w:rsid w:val="004121C7"/>
    <w:rsid w:val="00412218"/>
    <w:rsid w:val="004125C5"/>
    <w:rsid w:val="00412ACF"/>
    <w:rsid w:val="0041341E"/>
    <w:rsid w:val="0041494A"/>
    <w:rsid w:val="00414F44"/>
    <w:rsid w:val="0041500E"/>
    <w:rsid w:val="00416E8C"/>
    <w:rsid w:val="00417309"/>
    <w:rsid w:val="00420DFE"/>
    <w:rsid w:val="004225AC"/>
    <w:rsid w:val="00425258"/>
    <w:rsid w:val="0042710E"/>
    <w:rsid w:val="004271EA"/>
    <w:rsid w:val="0043124C"/>
    <w:rsid w:val="00432CEB"/>
    <w:rsid w:val="00432FF9"/>
    <w:rsid w:val="00434183"/>
    <w:rsid w:val="00436FEA"/>
    <w:rsid w:val="004411C5"/>
    <w:rsid w:val="00441580"/>
    <w:rsid w:val="00441EF4"/>
    <w:rsid w:val="004423AB"/>
    <w:rsid w:val="00443330"/>
    <w:rsid w:val="00443A4A"/>
    <w:rsid w:val="00444725"/>
    <w:rsid w:val="004472AD"/>
    <w:rsid w:val="00447993"/>
    <w:rsid w:val="00447DF5"/>
    <w:rsid w:val="00452F29"/>
    <w:rsid w:val="004530B3"/>
    <w:rsid w:val="0045397A"/>
    <w:rsid w:val="00453E64"/>
    <w:rsid w:val="00455CD0"/>
    <w:rsid w:val="004567BB"/>
    <w:rsid w:val="00457ADA"/>
    <w:rsid w:val="00463B57"/>
    <w:rsid w:val="00466F97"/>
    <w:rsid w:val="004677E2"/>
    <w:rsid w:val="00470EE0"/>
    <w:rsid w:val="00471052"/>
    <w:rsid w:val="004715CF"/>
    <w:rsid w:val="0047515B"/>
    <w:rsid w:val="00475672"/>
    <w:rsid w:val="0047572C"/>
    <w:rsid w:val="004774B3"/>
    <w:rsid w:val="00477F9F"/>
    <w:rsid w:val="004818A0"/>
    <w:rsid w:val="00481C51"/>
    <w:rsid w:val="004827FB"/>
    <w:rsid w:val="004831A5"/>
    <w:rsid w:val="004832B1"/>
    <w:rsid w:val="00485B77"/>
    <w:rsid w:val="00487D0A"/>
    <w:rsid w:val="004903B1"/>
    <w:rsid w:val="004907C3"/>
    <w:rsid w:val="004907D5"/>
    <w:rsid w:val="00492648"/>
    <w:rsid w:val="00494B7B"/>
    <w:rsid w:val="00494C70"/>
    <w:rsid w:val="00496B26"/>
    <w:rsid w:val="00497BF5"/>
    <w:rsid w:val="00497FE2"/>
    <w:rsid w:val="004A06AE"/>
    <w:rsid w:val="004A2748"/>
    <w:rsid w:val="004A36EA"/>
    <w:rsid w:val="004A47B7"/>
    <w:rsid w:val="004A492C"/>
    <w:rsid w:val="004A5068"/>
    <w:rsid w:val="004A635B"/>
    <w:rsid w:val="004A6F00"/>
    <w:rsid w:val="004A7D94"/>
    <w:rsid w:val="004B1595"/>
    <w:rsid w:val="004B6AB6"/>
    <w:rsid w:val="004B6D7B"/>
    <w:rsid w:val="004B732D"/>
    <w:rsid w:val="004B77E3"/>
    <w:rsid w:val="004B7B7A"/>
    <w:rsid w:val="004B7F75"/>
    <w:rsid w:val="004C0A4B"/>
    <w:rsid w:val="004C0DA8"/>
    <w:rsid w:val="004C17D1"/>
    <w:rsid w:val="004C2F9E"/>
    <w:rsid w:val="004C514A"/>
    <w:rsid w:val="004C5733"/>
    <w:rsid w:val="004C599F"/>
    <w:rsid w:val="004C72E0"/>
    <w:rsid w:val="004C76C5"/>
    <w:rsid w:val="004C7A38"/>
    <w:rsid w:val="004C7E05"/>
    <w:rsid w:val="004D0839"/>
    <w:rsid w:val="004D0C85"/>
    <w:rsid w:val="004D2970"/>
    <w:rsid w:val="004D3027"/>
    <w:rsid w:val="004D3ABB"/>
    <w:rsid w:val="004D580C"/>
    <w:rsid w:val="004D5846"/>
    <w:rsid w:val="004D6800"/>
    <w:rsid w:val="004D7A08"/>
    <w:rsid w:val="004E1054"/>
    <w:rsid w:val="004E3F55"/>
    <w:rsid w:val="004E3FF9"/>
    <w:rsid w:val="004E4352"/>
    <w:rsid w:val="004E5426"/>
    <w:rsid w:val="004E5FF2"/>
    <w:rsid w:val="004E669B"/>
    <w:rsid w:val="004E6D44"/>
    <w:rsid w:val="004F0853"/>
    <w:rsid w:val="004F09C3"/>
    <w:rsid w:val="004F1019"/>
    <w:rsid w:val="004F269C"/>
    <w:rsid w:val="004F2B25"/>
    <w:rsid w:val="004F4085"/>
    <w:rsid w:val="004F410A"/>
    <w:rsid w:val="004F4AA8"/>
    <w:rsid w:val="004F71A8"/>
    <w:rsid w:val="00502499"/>
    <w:rsid w:val="00502739"/>
    <w:rsid w:val="00503E52"/>
    <w:rsid w:val="00504FB7"/>
    <w:rsid w:val="00505055"/>
    <w:rsid w:val="0050641A"/>
    <w:rsid w:val="00507E75"/>
    <w:rsid w:val="00510B5B"/>
    <w:rsid w:val="00511E5A"/>
    <w:rsid w:val="00514854"/>
    <w:rsid w:val="00515323"/>
    <w:rsid w:val="00516D15"/>
    <w:rsid w:val="00516FA4"/>
    <w:rsid w:val="005200EA"/>
    <w:rsid w:val="00520D11"/>
    <w:rsid w:val="005229CF"/>
    <w:rsid w:val="00525AF7"/>
    <w:rsid w:val="00525D70"/>
    <w:rsid w:val="005300F6"/>
    <w:rsid w:val="005312B5"/>
    <w:rsid w:val="0053148A"/>
    <w:rsid w:val="00531F33"/>
    <w:rsid w:val="00533A03"/>
    <w:rsid w:val="00534D74"/>
    <w:rsid w:val="00537BFB"/>
    <w:rsid w:val="00537D2B"/>
    <w:rsid w:val="00541089"/>
    <w:rsid w:val="00542A9C"/>
    <w:rsid w:val="00542FE7"/>
    <w:rsid w:val="00543905"/>
    <w:rsid w:val="00544AE5"/>
    <w:rsid w:val="00546F5D"/>
    <w:rsid w:val="0055086E"/>
    <w:rsid w:val="005513EE"/>
    <w:rsid w:val="0055474C"/>
    <w:rsid w:val="00554CEC"/>
    <w:rsid w:val="00556788"/>
    <w:rsid w:val="00556945"/>
    <w:rsid w:val="0055753C"/>
    <w:rsid w:val="005604F0"/>
    <w:rsid w:val="00560735"/>
    <w:rsid w:val="005607F2"/>
    <w:rsid w:val="00560CC9"/>
    <w:rsid w:val="005619C0"/>
    <w:rsid w:val="0056215F"/>
    <w:rsid w:val="00562A1A"/>
    <w:rsid w:val="00566B69"/>
    <w:rsid w:val="00567F84"/>
    <w:rsid w:val="005709A1"/>
    <w:rsid w:val="005709F9"/>
    <w:rsid w:val="00571F37"/>
    <w:rsid w:val="00572032"/>
    <w:rsid w:val="005729BA"/>
    <w:rsid w:val="00573299"/>
    <w:rsid w:val="0057512C"/>
    <w:rsid w:val="0057797B"/>
    <w:rsid w:val="005818F0"/>
    <w:rsid w:val="005818F4"/>
    <w:rsid w:val="005827E6"/>
    <w:rsid w:val="00583963"/>
    <w:rsid w:val="00586761"/>
    <w:rsid w:val="00586902"/>
    <w:rsid w:val="00586986"/>
    <w:rsid w:val="00587482"/>
    <w:rsid w:val="0058794A"/>
    <w:rsid w:val="00591C19"/>
    <w:rsid w:val="00594A53"/>
    <w:rsid w:val="00594EA7"/>
    <w:rsid w:val="00595AD2"/>
    <w:rsid w:val="00595BC5"/>
    <w:rsid w:val="00595FBF"/>
    <w:rsid w:val="00596BA4"/>
    <w:rsid w:val="0059798B"/>
    <w:rsid w:val="00597F87"/>
    <w:rsid w:val="005A18A0"/>
    <w:rsid w:val="005A1973"/>
    <w:rsid w:val="005A243E"/>
    <w:rsid w:val="005A3449"/>
    <w:rsid w:val="005A3D90"/>
    <w:rsid w:val="005A4534"/>
    <w:rsid w:val="005A49FD"/>
    <w:rsid w:val="005A4F49"/>
    <w:rsid w:val="005B0A07"/>
    <w:rsid w:val="005B0B96"/>
    <w:rsid w:val="005B1BBD"/>
    <w:rsid w:val="005B1E30"/>
    <w:rsid w:val="005B426E"/>
    <w:rsid w:val="005B500B"/>
    <w:rsid w:val="005B6440"/>
    <w:rsid w:val="005B67B6"/>
    <w:rsid w:val="005B6B7F"/>
    <w:rsid w:val="005B79C5"/>
    <w:rsid w:val="005C0C5A"/>
    <w:rsid w:val="005C19AF"/>
    <w:rsid w:val="005C2441"/>
    <w:rsid w:val="005C311D"/>
    <w:rsid w:val="005C394D"/>
    <w:rsid w:val="005C3E9E"/>
    <w:rsid w:val="005C493E"/>
    <w:rsid w:val="005C5080"/>
    <w:rsid w:val="005C5A80"/>
    <w:rsid w:val="005C639D"/>
    <w:rsid w:val="005C66E3"/>
    <w:rsid w:val="005C76B7"/>
    <w:rsid w:val="005D0BE5"/>
    <w:rsid w:val="005D1801"/>
    <w:rsid w:val="005D2A61"/>
    <w:rsid w:val="005D3D41"/>
    <w:rsid w:val="005D3F3D"/>
    <w:rsid w:val="005D7A0E"/>
    <w:rsid w:val="005E0744"/>
    <w:rsid w:val="005E0C30"/>
    <w:rsid w:val="005E107A"/>
    <w:rsid w:val="005E125B"/>
    <w:rsid w:val="005E360C"/>
    <w:rsid w:val="005E3697"/>
    <w:rsid w:val="005E4AC4"/>
    <w:rsid w:val="005E4B59"/>
    <w:rsid w:val="005E7164"/>
    <w:rsid w:val="005F03CA"/>
    <w:rsid w:val="005F0A8C"/>
    <w:rsid w:val="005F2190"/>
    <w:rsid w:val="005F27EC"/>
    <w:rsid w:val="005F443D"/>
    <w:rsid w:val="005F5764"/>
    <w:rsid w:val="005F6860"/>
    <w:rsid w:val="00600132"/>
    <w:rsid w:val="00601E37"/>
    <w:rsid w:val="00602353"/>
    <w:rsid w:val="0060256A"/>
    <w:rsid w:val="006034E2"/>
    <w:rsid w:val="006035F9"/>
    <w:rsid w:val="00603BDA"/>
    <w:rsid w:val="0060441D"/>
    <w:rsid w:val="00604E50"/>
    <w:rsid w:val="00605495"/>
    <w:rsid w:val="006073AB"/>
    <w:rsid w:val="00607981"/>
    <w:rsid w:val="00610819"/>
    <w:rsid w:val="00610AC8"/>
    <w:rsid w:val="0061160A"/>
    <w:rsid w:val="00612D2E"/>
    <w:rsid w:val="00613AA7"/>
    <w:rsid w:val="00614E10"/>
    <w:rsid w:val="00615073"/>
    <w:rsid w:val="006162A7"/>
    <w:rsid w:val="00616577"/>
    <w:rsid w:val="006165A5"/>
    <w:rsid w:val="00617904"/>
    <w:rsid w:val="00620726"/>
    <w:rsid w:val="006208E6"/>
    <w:rsid w:val="00620A95"/>
    <w:rsid w:val="0062207B"/>
    <w:rsid w:val="00623417"/>
    <w:rsid w:val="006242A5"/>
    <w:rsid w:val="00624417"/>
    <w:rsid w:val="006246A9"/>
    <w:rsid w:val="0062527E"/>
    <w:rsid w:val="006300B5"/>
    <w:rsid w:val="006300C2"/>
    <w:rsid w:val="00630BD8"/>
    <w:rsid w:val="00634617"/>
    <w:rsid w:val="00634FA8"/>
    <w:rsid w:val="00635451"/>
    <w:rsid w:val="00635760"/>
    <w:rsid w:val="006360A9"/>
    <w:rsid w:val="006365D0"/>
    <w:rsid w:val="00637D9C"/>
    <w:rsid w:val="0064046C"/>
    <w:rsid w:val="00640816"/>
    <w:rsid w:val="006412C0"/>
    <w:rsid w:val="006415B9"/>
    <w:rsid w:val="00645A2F"/>
    <w:rsid w:val="00647E9F"/>
    <w:rsid w:val="00647F62"/>
    <w:rsid w:val="00650571"/>
    <w:rsid w:val="006511CB"/>
    <w:rsid w:val="00651CB9"/>
    <w:rsid w:val="006520C7"/>
    <w:rsid w:val="0065341F"/>
    <w:rsid w:val="00653B25"/>
    <w:rsid w:val="00654C12"/>
    <w:rsid w:val="00654DE3"/>
    <w:rsid w:val="00655DC6"/>
    <w:rsid w:val="00655F4D"/>
    <w:rsid w:val="00656459"/>
    <w:rsid w:val="00657313"/>
    <w:rsid w:val="00657FD6"/>
    <w:rsid w:val="0066134F"/>
    <w:rsid w:val="0066144E"/>
    <w:rsid w:val="00661E14"/>
    <w:rsid w:val="0066368E"/>
    <w:rsid w:val="0066426D"/>
    <w:rsid w:val="00665391"/>
    <w:rsid w:val="006675C4"/>
    <w:rsid w:val="0067014A"/>
    <w:rsid w:val="00671C4A"/>
    <w:rsid w:val="00673A86"/>
    <w:rsid w:val="00673D70"/>
    <w:rsid w:val="00677800"/>
    <w:rsid w:val="00677C8D"/>
    <w:rsid w:val="00680515"/>
    <w:rsid w:val="00681FD5"/>
    <w:rsid w:val="006845F9"/>
    <w:rsid w:val="00684D76"/>
    <w:rsid w:val="00686BDE"/>
    <w:rsid w:val="006904DC"/>
    <w:rsid w:val="00691296"/>
    <w:rsid w:val="00691C0B"/>
    <w:rsid w:val="00694438"/>
    <w:rsid w:val="00694C40"/>
    <w:rsid w:val="00694DAB"/>
    <w:rsid w:val="00695225"/>
    <w:rsid w:val="0069615B"/>
    <w:rsid w:val="006964B0"/>
    <w:rsid w:val="00696C4F"/>
    <w:rsid w:val="00696CE2"/>
    <w:rsid w:val="00696DA0"/>
    <w:rsid w:val="0069758C"/>
    <w:rsid w:val="006A012D"/>
    <w:rsid w:val="006A188B"/>
    <w:rsid w:val="006A216F"/>
    <w:rsid w:val="006A33A3"/>
    <w:rsid w:val="006A39AB"/>
    <w:rsid w:val="006A45EA"/>
    <w:rsid w:val="006A630B"/>
    <w:rsid w:val="006A7C03"/>
    <w:rsid w:val="006A7C8D"/>
    <w:rsid w:val="006A7D5D"/>
    <w:rsid w:val="006B1090"/>
    <w:rsid w:val="006B1100"/>
    <w:rsid w:val="006B2F19"/>
    <w:rsid w:val="006B4C74"/>
    <w:rsid w:val="006B4FAA"/>
    <w:rsid w:val="006B513C"/>
    <w:rsid w:val="006B5AF3"/>
    <w:rsid w:val="006B6458"/>
    <w:rsid w:val="006B6B27"/>
    <w:rsid w:val="006B6CD0"/>
    <w:rsid w:val="006B6EDE"/>
    <w:rsid w:val="006C0277"/>
    <w:rsid w:val="006C0B6D"/>
    <w:rsid w:val="006C3073"/>
    <w:rsid w:val="006C3400"/>
    <w:rsid w:val="006C3723"/>
    <w:rsid w:val="006C3D8A"/>
    <w:rsid w:val="006C465B"/>
    <w:rsid w:val="006C4C17"/>
    <w:rsid w:val="006C4E6F"/>
    <w:rsid w:val="006C7E5F"/>
    <w:rsid w:val="006D077A"/>
    <w:rsid w:val="006D0C8A"/>
    <w:rsid w:val="006D217F"/>
    <w:rsid w:val="006D42DA"/>
    <w:rsid w:val="006D74B5"/>
    <w:rsid w:val="006D766E"/>
    <w:rsid w:val="006E0E18"/>
    <w:rsid w:val="006E44B8"/>
    <w:rsid w:val="006E5457"/>
    <w:rsid w:val="006E6228"/>
    <w:rsid w:val="006E68D5"/>
    <w:rsid w:val="006E7A72"/>
    <w:rsid w:val="006F40EA"/>
    <w:rsid w:val="006F6266"/>
    <w:rsid w:val="006F795D"/>
    <w:rsid w:val="007004CC"/>
    <w:rsid w:val="00702C5A"/>
    <w:rsid w:val="007034AD"/>
    <w:rsid w:val="00704652"/>
    <w:rsid w:val="007048BC"/>
    <w:rsid w:val="007067FB"/>
    <w:rsid w:val="00706FFC"/>
    <w:rsid w:val="00707C2F"/>
    <w:rsid w:val="00707CEE"/>
    <w:rsid w:val="00710880"/>
    <w:rsid w:val="007108C3"/>
    <w:rsid w:val="00712595"/>
    <w:rsid w:val="00716184"/>
    <w:rsid w:val="00716DFD"/>
    <w:rsid w:val="00716FBE"/>
    <w:rsid w:val="00717723"/>
    <w:rsid w:val="00721ADF"/>
    <w:rsid w:val="0072210F"/>
    <w:rsid w:val="007222CF"/>
    <w:rsid w:val="0072272F"/>
    <w:rsid w:val="00724074"/>
    <w:rsid w:val="00724DC3"/>
    <w:rsid w:val="007273A7"/>
    <w:rsid w:val="00730B23"/>
    <w:rsid w:val="00731357"/>
    <w:rsid w:val="00731664"/>
    <w:rsid w:val="00734332"/>
    <w:rsid w:val="00736C07"/>
    <w:rsid w:val="00736E7A"/>
    <w:rsid w:val="007417DD"/>
    <w:rsid w:val="007444A3"/>
    <w:rsid w:val="00744698"/>
    <w:rsid w:val="00744E46"/>
    <w:rsid w:val="00744F35"/>
    <w:rsid w:val="00747836"/>
    <w:rsid w:val="00750A8E"/>
    <w:rsid w:val="00752A69"/>
    <w:rsid w:val="0075363A"/>
    <w:rsid w:val="007537A5"/>
    <w:rsid w:val="00753D40"/>
    <w:rsid w:val="00754848"/>
    <w:rsid w:val="00756A93"/>
    <w:rsid w:val="007579F8"/>
    <w:rsid w:val="007608D8"/>
    <w:rsid w:val="00760D7B"/>
    <w:rsid w:val="00761483"/>
    <w:rsid w:val="00761545"/>
    <w:rsid w:val="00762A8D"/>
    <w:rsid w:val="0076370D"/>
    <w:rsid w:val="0076482E"/>
    <w:rsid w:val="00764EF1"/>
    <w:rsid w:val="00765152"/>
    <w:rsid w:val="00765B72"/>
    <w:rsid w:val="007669B0"/>
    <w:rsid w:val="00767C83"/>
    <w:rsid w:val="007738F5"/>
    <w:rsid w:val="00776168"/>
    <w:rsid w:val="0077656B"/>
    <w:rsid w:val="007772CC"/>
    <w:rsid w:val="0078007F"/>
    <w:rsid w:val="00780BE7"/>
    <w:rsid w:val="0078199E"/>
    <w:rsid w:val="00781D65"/>
    <w:rsid w:val="00783F24"/>
    <w:rsid w:val="0078480B"/>
    <w:rsid w:val="007871DE"/>
    <w:rsid w:val="00787D22"/>
    <w:rsid w:val="00792C8E"/>
    <w:rsid w:val="00792DEF"/>
    <w:rsid w:val="007932C1"/>
    <w:rsid w:val="0079386A"/>
    <w:rsid w:val="00795305"/>
    <w:rsid w:val="007968C8"/>
    <w:rsid w:val="00796A8E"/>
    <w:rsid w:val="007A196D"/>
    <w:rsid w:val="007A4518"/>
    <w:rsid w:val="007A4F17"/>
    <w:rsid w:val="007A4F77"/>
    <w:rsid w:val="007A5254"/>
    <w:rsid w:val="007A6B23"/>
    <w:rsid w:val="007A6CEF"/>
    <w:rsid w:val="007A6F6C"/>
    <w:rsid w:val="007A78A7"/>
    <w:rsid w:val="007B3479"/>
    <w:rsid w:val="007B3AC6"/>
    <w:rsid w:val="007B5ECA"/>
    <w:rsid w:val="007B6885"/>
    <w:rsid w:val="007B6AD0"/>
    <w:rsid w:val="007B74E7"/>
    <w:rsid w:val="007C05FF"/>
    <w:rsid w:val="007C29F7"/>
    <w:rsid w:val="007C3EEC"/>
    <w:rsid w:val="007C5499"/>
    <w:rsid w:val="007C5AD3"/>
    <w:rsid w:val="007C78B7"/>
    <w:rsid w:val="007D0989"/>
    <w:rsid w:val="007D0A3F"/>
    <w:rsid w:val="007D275C"/>
    <w:rsid w:val="007D2E6A"/>
    <w:rsid w:val="007D4489"/>
    <w:rsid w:val="007D5239"/>
    <w:rsid w:val="007D586B"/>
    <w:rsid w:val="007D5E0A"/>
    <w:rsid w:val="007D649F"/>
    <w:rsid w:val="007D7C7B"/>
    <w:rsid w:val="007E18FA"/>
    <w:rsid w:val="007E1D71"/>
    <w:rsid w:val="007E1F6C"/>
    <w:rsid w:val="007E290A"/>
    <w:rsid w:val="007E304E"/>
    <w:rsid w:val="007E3D89"/>
    <w:rsid w:val="007E46AE"/>
    <w:rsid w:val="007E5210"/>
    <w:rsid w:val="007E5A87"/>
    <w:rsid w:val="007E697F"/>
    <w:rsid w:val="007E716C"/>
    <w:rsid w:val="007E7AFA"/>
    <w:rsid w:val="007F23CE"/>
    <w:rsid w:val="007F2954"/>
    <w:rsid w:val="007F3C8D"/>
    <w:rsid w:val="007F3E59"/>
    <w:rsid w:val="007F4A1D"/>
    <w:rsid w:val="007F5F1E"/>
    <w:rsid w:val="007F621D"/>
    <w:rsid w:val="007F6537"/>
    <w:rsid w:val="00801706"/>
    <w:rsid w:val="00802C43"/>
    <w:rsid w:val="00803139"/>
    <w:rsid w:val="00804CB4"/>
    <w:rsid w:val="00806362"/>
    <w:rsid w:val="00806970"/>
    <w:rsid w:val="0080697C"/>
    <w:rsid w:val="00806BB2"/>
    <w:rsid w:val="00810655"/>
    <w:rsid w:val="00810F2C"/>
    <w:rsid w:val="00812539"/>
    <w:rsid w:val="008134C8"/>
    <w:rsid w:val="00816CF9"/>
    <w:rsid w:val="00817E17"/>
    <w:rsid w:val="00822F82"/>
    <w:rsid w:val="00826ECD"/>
    <w:rsid w:val="00827519"/>
    <w:rsid w:val="00827C33"/>
    <w:rsid w:val="00827DF1"/>
    <w:rsid w:val="00832814"/>
    <w:rsid w:val="00835605"/>
    <w:rsid w:val="008356CF"/>
    <w:rsid w:val="00835A0F"/>
    <w:rsid w:val="00836679"/>
    <w:rsid w:val="00837F18"/>
    <w:rsid w:val="00843B36"/>
    <w:rsid w:val="008446CE"/>
    <w:rsid w:val="00844846"/>
    <w:rsid w:val="00844FE7"/>
    <w:rsid w:val="008470B8"/>
    <w:rsid w:val="0084786F"/>
    <w:rsid w:val="0085025D"/>
    <w:rsid w:val="00851B04"/>
    <w:rsid w:val="00852178"/>
    <w:rsid w:val="00853CD2"/>
    <w:rsid w:val="00853FF3"/>
    <w:rsid w:val="0085451D"/>
    <w:rsid w:val="00854EC8"/>
    <w:rsid w:val="008603B4"/>
    <w:rsid w:val="00860CF5"/>
    <w:rsid w:val="00861579"/>
    <w:rsid w:val="00862864"/>
    <w:rsid w:val="0086344D"/>
    <w:rsid w:val="008640BE"/>
    <w:rsid w:val="008641A7"/>
    <w:rsid w:val="008642D7"/>
    <w:rsid w:val="0086531E"/>
    <w:rsid w:val="00865C17"/>
    <w:rsid w:val="00867748"/>
    <w:rsid w:val="0086797E"/>
    <w:rsid w:val="0087030C"/>
    <w:rsid w:val="00870BAC"/>
    <w:rsid w:val="0087185F"/>
    <w:rsid w:val="0087268C"/>
    <w:rsid w:val="00872D3A"/>
    <w:rsid w:val="00874731"/>
    <w:rsid w:val="00875539"/>
    <w:rsid w:val="00875AA2"/>
    <w:rsid w:val="00875D2D"/>
    <w:rsid w:val="0088069E"/>
    <w:rsid w:val="00880CB5"/>
    <w:rsid w:val="00880D90"/>
    <w:rsid w:val="00882652"/>
    <w:rsid w:val="0088316B"/>
    <w:rsid w:val="00884D77"/>
    <w:rsid w:val="008858E6"/>
    <w:rsid w:val="00885F41"/>
    <w:rsid w:val="008868CF"/>
    <w:rsid w:val="0089053A"/>
    <w:rsid w:val="008915FF"/>
    <w:rsid w:val="00891DB1"/>
    <w:rsid w:val="008923A5"/>
    <w:rsid w:val="008926F4"/>
    <w:rsid w:val="00893324"/>
    <w:rsid w:val="00893965"/>
    <w:rsid w:val="00895AA1"/>
    <w:rsid w:val="00896C72"/>
    <w:rsid w:val="008971FD"/>
    <w:rsid w:val="008A2623"/>
    <w:rsid w:val="008A2F69"/>
    <w:rsid w:val="008A4B89"/>
    <w:rsid w:val="008A609F"/>
    <w:rsid w:val="008A6769"/>
    <w:rsid w:val="008A7260"/>
    <w:rsid w:val="008A7B66"/>
    <w:rsid w:val="008B026E"/>
    <w:rsid w:val="008B22EF"/>
    <w:rsid w:val="008B365B"/>
    <w:rsid w:val="008B367A"/>
    <w:rsid w:val="008B36D0"/>
    <w:rsid w:val="008B38BA"/>
    <w:rsid w:val="008B423A"/>
    <w:rsid w:val="008B4249"/>
    <w:rsid w:val="008B4A41"/>
    <w:rsid w:val="008B5960"/>
    <w:rsid w:val="008B6E0B"/>
    <w:rsid w:val="008C016E"/>
    <w:rsid w:val="008C0422"/>
    <w:rsid w:val="008C04D4"/>
    <w:rsid w:val="008C22B5"/>
    <w:rsid w:val="008C22D8"/>
    <w:rsid w:val="008C394A"/>
    <w:rsid w:val="008C3E90"/>
    <w:rsid w:val="008C4CE3"/>
    <w:rsid w:val="008C6B4B"/>
    <w:rsid w:val="008C7168"/>
    <w:rsid w:val="008D006F"/>
    <w:rsid w:val="008D03CA"/>
    <w:rsid w:val="008D2331"/>
    <w:rsid w:val="008D2798"/>
    <w:rsid w:val="008D285F"/>
    <w:rsid w:val="008D3F32"/>
    <w:rsid w:val="008D73A5"/>
    <w:rsid w:val="008E05E4"/>
    <w:rsid w:val="008E0629"/>
    <w:rsid w:val="008E0A8C"/>
    <w:rsid w:val="008E181E"/>
    <w:rsid w:val="008E2435"/>
    <w:rsid w:val="008E255A"/>
    <w:rsid w:val="008E2700"/>
    <w:rsid w:val="008E3CCE"/>
    <w:rsid w:val="008E4C20"/>
    <w:rsid w:val="008E70E9"/>
    <w:rsid w:val="008E736E"/>
    <w:rsid w:val="008E77FE"/>
    <w:rsid w:val="008E7B06"/>
    <w:rsid w:val="008F02A6"/>
    <w:rsid w:val="008F033A"/>
    <w:rsid w:val="008F0718"/>
    <w:rsid w:val="008F2D31"/>
    <w:rsid w:val="008F3AD2"/>
    <w:rsid w:val="008F5B48"/>
    <w:rsid w:val="008F5D1B"/>
    <w:rsid w:val="008F5F33"/>
    <w:rsid w:val="008F78FD"/>
    <w:rsid w:val="0090041F"/>
    <w:rsid w:val="00900E88"/>
    <w:rsid w:val="00902473"/>
    <w:rsid w:val="00902717"/>
    <w:rsid w:val="00902D37"/>
    <w:rsid w:val="00902F4F"/>
    <w:rsid w:val="00902F7B"/>
    <w:rsid w:val="009036CB"/>
    <w:rsid w:val="00905226"/>
    <w:rsid w:val="0090602F"/>
    <w:rsid w:val="0091016F"/>
    <w:rsid w:val="009117E9"/>
    <w:rsid w:val="00913169"/>
    <w:rsid w:val="00913843"/>
    <w:rsid w:val="00913B12"/>
    <w:rsid w:val="00914CC1"/>
    <w:rsid w:val="009154A1"/>
    <w:rsid w:val="0091682C"/>
    <w:rsid w:val="00916EBB"/>
    <w:rsid w:val="00917137"/>
    <w:rsid w:val="00920276"/>
    <w:rsid w:val="0092063C"/>
    <w:rsid w:val="00920F8E"/>
    <w:rsid w:val="0092101B"/>
    <w:rsid w:val="0092264E"/>
    <w:rsid w:val="00922B54"/>
    <w:rsid w:val="00923057"/>
    <w:rsid w:val="00923331"/>
    <w:rsid w:val="00923563"/>
    <w:rsid w:val="00924CEA"/>
    <w:rsid w:val="00924DA4"/>
    <w:rsid w:val="009251E6"/>
    <w:rsid w:val="0092570A"/>
    <w:rsid w:val="00925B05"/>
    <w:rsid w:val="00926CD2"/>
    <w:rsid w:val="00926D4B"/>
    <w:rsid w:val="00927DEE"/>
    <w:rsid w:val="00927FDC"/>
    <w:rsid w:val="00930C56"/>
    <w:rsid w:val="009315C5"/>
    <w:rsid w:val="00931E72"/>
    <w:rsid w:val="00932493"/>
    <w:rsid w:val="00933E63"/>
    <w:rsid w:val="00933F74"/>
    <w:rsid w:val="00933F9A"/>
    <w:rsid w:val="00934AED"/>
    <w:rsid w:val="00934BC8"/>
    <w:rsid w:val="00935F51"/>
    <w:rsid w:val="00936E96"/>
    <w:rsid w:val="00936F56"/>
    <w:rsid w:val="00937653"/>
    <w:rsid w:val="00937A4F"/>
    <w:rsid w:val="00940A1A"/>
    <w:rsid w:val="009416B6"/>
    <w:rsid w:val="00941EDA"/>
    <w:rsid w:val="00944452"/>
    <w:rsid w:val="00944FB6"/>
    <w:rsid w:val="00945C9B"/>
    <w:rsid w:val="009465F0"/>
    <w:rsid w:val="00946814"/>
    <w:rsid w:val="00947B76"/>
    <w:rsid w:val="0095227D"/>
    <w:rsid w:val="00952A4F"/>
    <w:rsid w:val="00953BDD"/>
    <w:rsid w:val="00954097"/>
    <w:rsid w:val="00955C4C"/>
    <w:rsid w:val="009567F0"/>
    <w:rsid w:val="00956D53"/>
    <w:rsid w:val="00956E53"/>
    <w:rsid w:val="00956F40"/>
    <w:rsid w:val="00957F32"/>
    <w:rsid w:val="00961D71"/>
    <w:rsid w:val="00961E03"/>
    <w:rsid w:val="00962EFE"/>
    <w:rsid w:val="00963A67"/>
    <w:rsid w:val="009642DF"/>
    <w:rsid w:val="00964B7D"/>
    <w:rsid w:val="00965183"/>
    <w:rsid w:val="00966166"/>
    <w:rsid w:val="00966C76"/>
    <w:rsid w:val="00967985"/>
    <w:rsid w:val="00970662"/>
    <w:rsid w:val="0097107C"/>
    <w:rsid w:val="00974073"/>
    <w:rsid w:val="009757AD"/>
    <w:rsid w:val="00976852"/>
    <w:rsid w:val="009774C1"/>
    <w:rsid w:val="00977F9F"/>
    <w:rsid w:val="00981FC0"/>
    <w:rsid w:val="009824C8"/>
    <w:rsid w:val="00986111"/>
    <w:rsid w:val="00986D82"/>
    <w:rsid w:val="00986EA0"/>
    <w:rsid w:val="00987852"/>
    <w:rsid w:val="00993204"/>
    <w:rsid w:val="00993D19"/>
    <w:rsid w:val="00993D85"/>
    <w:rsid w:val="009943E5"/>
    <w:rsid w:val="009946BE"/>
    <w:rsid w:val="009956B4"/>
    <w:rsid w:val="0099600D"/>
    <w:rsid w:val="00996DC7"/>
    <w:rsid w:val="009979B6"/>
    <w:rsid w:val="00997C03"/>
    <w:rsid w:val="00997FBF"/>
    <w:rsid w:val="009A08CC"/>
    <w:rsid w:val="009A08DF"/>
    <w:rsid w:val="009A2118"/>
    <w:rsid w:val="009A2A0B"/>
    <w:rsid w:val="009A52B5"/>
    <w:rsid w:val="009A5913"/>
    <w:rsid w:val="009A64C4"/>
    <w:rsid w:val="009A7BFC"/>
    <w:rsid w:val="009A7DED"/>
    <w:rsid w:val="009B0CFA"/>
    <w:rsid w:val="009B3968"/>
    <w:rsid w:val="009B4B38"/>
    <w:rsid w:val="009B6B79"/>
    <w:rsid w:val="009C0098"/>
    <w:rsid w:val="009C0858"/>
    <w:rsid w:val="009C12F0"/>
    <w:rsid w:val="009C20D0"/>
    <w:rsid w:val="009C219D"/>
    <w:rsid w:val="009C2B0B"/>
    <w:rsid w:val="009C3FA5"/>
    <w:rsid w:val="009C4614"/>
    <w:rsid w:val="009C7D16"/>
    <w:rsid w:val="009C7F5B"/>
    <w:rsid w:val="009D1A10"/>
    <w:rsid w:val="009D2271"/>
    <w:rsid w:val="009D23EF"/>
    <w:rsid w:val="009D3A01"/>
    <w:rsid w:val="009D3EFA"/>
    <w:rsid w:val="009D51E6"/>
    <w:rsid w:val="009D5ECA"/>
    <w:rsid w:val="009D6159"/>
    <w:rsid w:val="009D6BCF"/>
    <w:rsid w:val="009D6CEC"/>
    <w:rsid w:val="009D7F7A"/>
    <w:rsid w:val="009E1D8F"/>
    <w:rsid w:val="009E1EC0"/>
    <w:rsid w:val="009E2D53"/>
    <w:rsid w:val="009E33FF"/>
    <w:rsid w:val="009E5A91"/>
    <w:rsid w:val="009E6C4F"/>
    <w:rsid w:val="009E70E6"/>
    <w:rsid w:val="009F0EFA"/>
    <w:rsid w:val="009F11CF"/>
    <w:rsid w:val="009F1279"/>
    <w:rsid w:val="009F1E59"/>
    <w:rsid w:val="009F2C4D"/>
    <w:rsid w:val="009F3966"/>
    <w:rsid w:val="009F4284"/>
    <w:rsid w:val="009F4EB5"/>
    <w:rsid w:val="009F607C"/>
    <w:rsid w:val="009F6113"/>
    <w:rsid w:val="009F616C"/>
    <w:rsid w:val="009F68B5"/>
    <w:rsid w:val="009F75F1"/>
    <w:rsid w:val="009F79AF"/>
    <w:rsid w:val="00A00D98"/>
    <w:rsid w:val="00A020B8"/>
    <w:rsid w:val="00A0449E"/>
    <w:rsid w:val="00A0545A"/>
    <w:rsid w:val="00A05B1C"/>
    <w:rsid w:val="00A0627B"/>
    <w:rsid w:val="00A07847"/>
    <w:rsid w:val="00A07F2E"/>
    <w:rsid w:val="00A120E6"/>
    <w:rsid w:val="00A12857"/>
    <w:rsid w:val="00A15BC4"/>
    <w:rsid w:val="00A16DCD"/>
    <w:rsid w:val="00A16FC1"/>
    <w:rsid w:val="00A17083"/>
    <w:rsid w:val="00A214E7"/>
    <w:rsid w:val="00A224BA"/>
    <w:rsid w:val="00A231B7"/>
    <w:rsid w:val="00A236F7"/>
    <w:rsid w:val="00A24811"/>
    <w:rsid w:val="00A2503D"/>
    <w:rsid w:val="00A251C7"/>
    <w:rsid w:val="00A25D6E"/>
    <w:rsid w:val="00A2656D"/>
    <w:rsid w:val="00A26996"/>
    <w:rsid w:val="00A274FC"/>
    <w:rsid w:val="00A309AC"/>
    <w:rsid w:val="00A31A71"/>
    <w:rsid w:val="00A327BA"/>
    <w:rsid w:val="00A32842"/>
    <w:rsid w:val="00A32B20"/>
    <w:rsid w:val="00A33319"/>
    <w:rsid w:val="00A3386D"/>
    <w:rsid w:val="00A33C7F"/>
    <w:rsid w:val="00A35945"/>
    <w:rsid w:val="00A35C59"/>
    <w:rsid w:val="00A372C6"/>
    <w:rsid w:val="00A4014F"/>
    <w:rsid w:val="00A406D5"/>
    <w:rsid w:val="00A4086D"/>
    <w:rsid w:val="00A423C0"/>
    <w:rsid w:val="00A42423"/>
    <w:rsid w:val="00A42868"/>
    <w:rsid w:val="00A4417C"/>
    <w:rsid w:val="00A44A1E"/>
    <w:rsid w:val="00A4565A"/>
    <w:rsid w:val="00A46A19"/>
    <w:rsid w:val="00A5071B"/>
    <w:rsid w:val="00A50ED5"/>
    <w:rsid w:val="00A51741"/>
    <w:rsid w:val="00A517AF"/>
    <w:rsid w:val="00A518DB"/>
    <w:rsid w:val="00A52CCD"/>
    <w:rsid w:val="00A545B2"/>
    <w:rsid w:val="00A554A0"/>
    <w:rsid w:val="00A56356"/>
    <w:rsid w:val="00A568B1"/>
    <w:rsid w:val="00A5745C"/>
    <w:rsid w:val="00A615C6"/>
    <w:rsid w:val="00A649C2"/>
    <w:rsid w:val="00A653A2"/>
    <w:rsid w:val="00A662FA"/>
    <w:rsid w:val="00A6651F"/>
    <w:rsid w:val="00A675FD"/>
    <w:rsid w:val="00A67A30"/>
    <w:rsid w:val="00A719F9"/>
    <w:rsid w:val="00A71BB0"/>
    <w:rsid w:val="00A73F78"/>
    <w:rsid w:val="00A744CE"/>
    <w:rsid w:val="00A74979"/>
    <w:rsid w:val="00A75CA6"/>
    <w:rsid w:val="00A7696A"/>
    <w:rsid w:val="00A7699C"/>
    <w:rsid w:val="00A769C4"/>
    <w:rsid w:val="00A77231"/>
    <w:rsid w:val="00A7736C"/>
    <w:rsid w:val="00A77FFB"/>
    <w:rsid w:val="00A8089E"/>
    <w:rsid w:val="00A80B21"/>
    <w:rsid w:val="00A81690"/>
    <w:rsid w:val="00A822E9"/>
    <w:rsid w:val="00A83498"/>
    <w:rsid w:val="00A83C88"/>
    <w:rsid w:val="00A850B7"/>
    <w:rsid w:val="00A85213"/>
    <w:rsid w:val="00A85B80"/>
    <w:rsid w:val="00A90B22"/>
    <w:rsid w:val="00A90C30"/>
    <w:rsid w:val="00AA0312"/>
    <w:rsid w:val="00AA0393"/>
    <w:rsid w:val="00AA1A58"/>
    <w:rsid w:val="00AA4141"/>
    <w:rsid w:val="00AA4BEA"/>
    <w:rsid w:val="00AA5215"/>
    <w:rsid w:val="00AA7474"/>
    <w:rsid w:val="00AB0936"/>
    <w:rsid w:val="00AB222F"/>
    <w:rsid w:val="00AB2280"/>
    <w:rsid w:val="00AB238A"/>
    <w:rsid w:val="00AB2D15"/>
    <w:rsid w:val="00AB546D"/>
    <w:rsid w:val="00AB71AF"/>
    <w:rsid w:val="00AB72B7"/>
    <w:rsid w:val="00AB7FA5"/>
    <w:rsid w:val="00AC1F01"/>
    <w:rsid w:val="00AC2E56"/>
    <w:rsid w:val="00AC310E"/>
    <w:rsid w:val="00AC3BFA"/>
    <w:rsid w:val="00AC6D46"/>
    <w:rsid w:val="00AD17F6"/>
    <w:rsid w:val="00AD2268"/>
    <w:rsid w:val="00AD4C00"/>
    <w:rsid w:val="00AD4D03"/>
    <w:rsid w:val="00AD64D8"/>
    <w:rsid w:val="00AD7301"/>
    <w:rsid w:val="00AE00C7"/>
    <w:rsid w:val="00AE1D5D"/>
    <w:rsid w:val="00AE3886"/>
    <w:rsid w:val="00AE3E85"/>
    <w:rsid w:val="00AE425E"/>
    <w:rsid w:val="00AE6470"/>
    <w:rsid w:val="00AE66F6"/>
    <w:rsid w:val="00AE6AFF"/>
    <w:rsid w:val="00AE73CC"/>
    <w:rsid w:val="00AF0A9D"/>
    <w:rsid w:val="00AF0ED9"/>
    <w:rsid w:val="00AF4C1B"/>
    <w:rsid w:val="00AF5B2A"/>
    <w:rsid w:val="00AF5B60"/>
    <w:rsid w:val="00AF617D"/>
    <w:rsid w:val="00AF6C82"/>
    <w:rsid w:val="00AF7784"/>
    <w:rsid w:val="00B041F5"/>
    <w:rsid w:val="00B055EF"/>
    <w:rsid w:val="00B10B05"/>
    <w:rsid w:val="00B10B5D"/>
    <w:rsid w:val="00B10EBD"/>
    <w:rsid w:val="00B11176"/>
    <w:rsid w:val="00B11E0C"/>
    <w:rsid w:val="00B124AB"/>
    <w:rsid w:val="00B12658"/>
    <w:rsid w:val="00B13D70"/>
    <w:rsid w:val="00B14126"/>
    <w:rsid w:val="00B150ED"/>
    <w:rsid w:val="00B16B46"/>
    <w:rsid w:val="00B16EE3"/>
    <w:rsid w:val="00B170A3"/>
    <w:rsid w:val="00B24A17"/>
    <w:rsid w:val="00B25FD4"/>
    <w:rsid w:val="00B27C06"/>
    <w:rsid w:val="00B322D3"/>
    <w:rsid w:val="00B377FF"/>
    <w:rsid w:val="00B37801"/>
    <w:rsid w:val="00B37A0A"/>
    <w:rsid w:val="00B400C6"/>
    <w:rsid w:val="00B400FD"/>
    <w:rsid w:val="00B40BC7"/>
    <w:rsid w:val="00B416F8"/>
    <w:rsid w:val="00B434BE"/>
    <w:rsid w:val="00B43918"/>
    <w:rsid w:val="00B44C9A"/>
    <w:rsid w:val="00B4752D"/>
    <w:rsid w:val="00B518D4"/>
    <w:rsid w:val="00B51E41"/>
    <w:rsid w:val="00B52F52"/>
    <w:rsid w:val="00B53945"/>
    <w:rsid w:val="00B545B3"/>
    <w:rsid w:val="00B54B9F"/>
    <w:rsid w:val="00B551C0"/>
    <w:rsid w:val="00B557FF"/>
    <w:rsid w:val="00B61B0D"/>
    <w:rsid w:val="00B62DB0"/>
    <w:rsid w:val="00B636CF"/>
    <w:rsid w:val="00B63FF7"/>
    <w:rsid w:val="00B64723"/>
    <w:rsid w:val="00B64BBF"/>
    <w:rsid w:val="00B64EA7"/>
    <w:rsid w:val="00B64FFD"/>
    <w:rsid w:val="00B6608A"/>
    <w:rsid w:val="00B66235"/>
    <w:rsid w:val="00B67B92"/>
    <w:rsid w:val="00B704AF"/>
    <w:rsid w:val="00B71152"/>
    <w:rsid w:val="00B72250"/>
    <w:rsid w:val="00B72D54"/>
    <w:rsid w:val="00B76E81"/>
    <w:rsid w:val="00B77BB2"/>
    <w:rsid w:val="00B8044B"/>
    <w:rsid w:val="00B804EC"/>
    <w:rsid w:val="00B81452"/>
    <w:rsid w:val="00B8270B"/>
    <w:rsid w:val="00B82AC7"/>
    <w:rsid w:val="00B84FA6"/>
    <w:rsid w:val="00B8583F"/>
    <w:rsid w:val="00B85869"/>
    <w:rsid w:val="00B8709A"/>
    <w:rsid w:val="00B90747"/>
    <w:rsid w:val="00B93C4E"/>
    <w:rsid w:val="00B93E9A"/>
    <w:rsid w:val="00B95BBF"/>
    <w:rsid w:val="00B970F2"/>
    <w:rsid w:val="00B975D2"/>
    <w:rsid w:val="00BA0548"/>
    <w:rsid w:val="00BA06FA"/>
    <w:rsid w:val="00BA0720"/>
    <w:rsid w:val="00BA07D8"/>
    <w:rsid w:val="00BA0F90"/>
    <w:rsid w:val="00BA1398"/>
    <w:rsid w:val="00BA1EA2"/>
    <w:rsid w:val="00BA2044"/>
    <w:rsid w:val="00BA2239"/>
    <w:rsid w:val="00BA2886"/>
    <w:rsid w:val="00BA42D1"/>
    <w:rsid w:val="00BA4C71"/>
    <w:rsid w:val="00BA4E0D"/>
    <w:rsid w:val="00BA76AF"/>
    <w:rsid w:val="00BB1977"/>
    <w:rsid w:val="00BB1AD4"/>
    <w:rsid w:val="00BB3145"/>
    <w:rsid w:val="00BB59DB"/>
    <w:rsid w:val="00BB5EDD"/>
    <w:rsid w:val="00BC2DFF"/>
    <w:rsid w:val="00BC41F2"/>
    <w:rsid w:val="00BC42C0"/>
    <w:rsid w:val="00BC447F"/>
    <w:rsid w:val="00BC44EE"/>
    <w:rsid w:val="00BC4536"/>
    <w:rsid w:val="00BD0908"/>
    <w:rsid w:val="00BD0DCE"/>
    <w:rsid w:val="00BD1FF5"/>
    <w:rsid w:val="00BD2782"/>
    <w:rsid w:val="00BD33F2"/>
    <w:rsid w:val="00BD54BF"/>
    <w:rsid w:val="00BD601D"/>
    <w:rsid w:val="00BD636C"/>
    <w:rsid w:val="00BD7045"/>
    <w:rsid w:val="00BD7175"/>
    <w:rsid w:val="00BD77DA"/>
    <w:rsid w:val="00BD7B4E"/>
    <w:rsid w:val="00BD7C26"/>
    <w:rsid w:val="00BE0233"/>
    <w:rsid w:val="00BE0DC8"/>
    <w:rsid w:val="00BE23E9"/>
    <w:rsid w:val="00BE54EF"/>
    <w:rsid w:val="00BE62A3"/>
    <w:rsid w:val="00BE79D1"/>
    <w:rsid w:val="00BF0332"/>
    <w:rsid w:val="00BF13A7"/>
    <w:rsid w:val="00BF3055"/>
    <w:rsid w:val="00BF35B3"/>
    <w:rsid w:val="00BF38EE"/>
    <w:rsid w:val="00BF3A36"/>
    <w:rsid w:val="00BF4169"/>
    <w:rsid w:val="00BF472E"/>
    <w:rsid w:val="00BF4D24"/>
    <w:rsid w:val="00BF707D"/>
    <w:rsid w:val="00BF7146"/>
    <w:rsid w:val="00BF77F0"/>
    <w:rsid w:val="00BF7DFA"/>
    <w:rsid w:val="00C01A83"/>
    <w:rsid w:val="00C03A3C"/>
    <w:rsid w:val="00C03CD1"/>
    <w:rsid w:val="00C05C0C"/>
    <w:rsid w:val="00C06AE5"/>
    <w:rsid w:val="00C07058"/>
    <w:rsid w:val="00C11584"/>
    <w:rsid w:val="00C121EB"/>
    <w:rsid w:val="00C1252E"/>
    <w:rsid w:val="00C12789"/>
    <w:rsid w:val="00C15933"/>
    <w:rsid w:val="00C167E7"/>
    <w:rsid w:val="00C203C9"/>
    <w:rsid w:val="00C20902"/>
    <w:rsid w:val="00C20B4C"/>
    <w:rsid w:val="00C20CC5"/>
    <w:rsid w:val="00C21D9D"/>
    <w:rsid w:val="00C2494E"/>
    <w:rsid w:val="00C24D28"/>
    <w:rsid w:val="00C262FE"/>
    <w:rsid w:val="00C26EC5"/>
    <w:rsid w:val="00C27D47"/>
    <w:rsid w:val="00C307BD"/>
    <w:rsid w:val="00C31C68"/>
    <w:rsid w:val="00C3258B"/>
    <w:rsid w:val="00C326F3"/>
    <w:rsid w:val="00C3344D"/>
    <w:rsid w:val="00C33DA4"/>
    <w:rsid w:val="00C3525B"/>
    <w:rsid w:val="00C35789"/>
    <w:rsid w:val="00C4084D"/>
    <w:rsid w:val="00C416DD"/>
    <w:rsid w:val="00C42166"/>
    <w:rsid w:val="00C421CA"/>
    <w:rsid w:val="00C4296C"/>
    <w:rsid w:val="00C430F3"/>
    <w:rsid w:val="00C433B8"/>
    <w:rsid w:val="00C43559"/>
    <w:rsid w:val="00C4446E"/>
    <w:rsid w:val="00C44610"/>
    <w:rsid w:val="00C45221"/>
    <w:rsid w:val="00C463AE"/>
    <w:rsid w:val="00C51E36"/>
    <w:rsid w:val="00C5321E"/>
    <w:rsid w:val="00C54CC6"/>
    <w:rsid w:val="00C604D0"/>
    <w:rsid w:val="00C608D1"/>
    <w:rsid w:val="00C61226"/>
    <w:rsid w:val="00C643AB"/>
    <w:rsid w:val="00C6483A"/>
    <w:rsid w:val="00C64C5A"/>
    <w:rsid w:val="00C65EDC"/>
    <w:rsid w:val="00C7015F"/>
    <w:rsid w:val="00C7062B"/>
    <w:rsid w:val="00C711CC"/>
    <w:rsid w:val="00C71380"/>
    <w:rsid w:val="00C72EF9"/>
    <w:rsid w:val="00C74ABD"/>
    <w:rsid w:val="00C75F91"/>
    <w:rsid w:val="00C819A4"/>
    <w:rsid w:val="00C8247E"/>
    <w:rsid w:val="00C82A3E"/>
    <w:rsid w:val="00C83786"/>
    <w:rsid w:val="00C84B2D"/>
    <w:rsid w:val="00C85CCE"/>
    <w:rsid w:val="00C864BB"/>
    <w:rsid w:val="00C870AF"/>
    <w:rsid w:val="00C903D3"/>
    <w:rsid w:val="00C90AE8"/>
    <w:rsid w:val="00C91877"/>
    <w:rsid w:val="00C91CCF"/>
    <w:rsid w:val="00C926AF"/>
    <w:rsid w:val="00C93DC9"/>
    <w:rsid w:val="00C9718B"/>
    <w:rsid w:val="00CA07E4"/>
    <w:rsid w:val="00CA0B34"/>
    <w:rsid w:val="00CA14BB"/>
    <w:rsid w:val="00CA3C7E"/>
    <w:rsid w:val="00CA605D"/>
    <w:rsid w:val="00CA72F7"/>
    <w:rsid w:val="00CA760E"/>
    <w:rsid w:val="00CA7E13"/>
    <w:rsid w:val="00CB0E45"/>
    <w:rsid w:val="00CB1B5C"/>
    <w:rsid w:val="00CB2F01"/>
    <w:rsid w:val="00CB4EE2"/>
    <w:rsid w:val="00CB5E72"/>
    <w:rsid w:val="00CB6168"/>
    <w:rsid w:val="00CB71DA"/>
    <w:rsid w:val="00CB7402"/>
    <w:rsid w:val="00CB79FC"/>
    <w:rsid w:val="00CC1C6D"/>
    <w:rsid w:val="00CC211A"/>
    <w:rsid w:val="00CC4AF3"/>
    <w:rsid w:val="00CC5550"/>
    <w:rsid w:val="00CC5B87"/>
    <w:rsid w:val="00CD05E7"/>
    <w:rsid w:val="00CD07D6"/>
    <w:rsid w:val="00CD2056"/>
    <w:rsid w:val="00CD2497"/>
    <w:rsid w:val="00CD2501"/>
    <w:rsid w:val="00CD362B"/>
    <w:rsid w:val="00CD39B2"/>
    <w:rsid w:val="00CD3B11"/>
    <w:rsid w:val="00CD4E68"/>
    <w:rsid w:val="00CD5CFD"/>
    <w:rsid w:val="00CD5D29"/>
    <w:rsid w:val="00CD7F8F"/>
    <w:rsid w:val="00CE0ECB"/>
    <w:rsid w:val="00CE1B29"/>
    <w:rsid w:val="00CE29C5"/>
    <w:rsid w:val="00CE30D1"/>
    <w:rsid w:val="00CE3AD1"/>
    <w:rsid w:val="00CE3C21"/>
    <w:rsid w:val="00CE5E59"/>
    <w:rsid w:val="00CE6599"/>
    <w:rsid w:val="00CF08B0"/>
    <w:rsid w:val="00CF0A5E"/>
    <w:rsid w:val="00CF2576"/>
    <w:rsid w:val="00CF43A2"/>
    <w:rsid w:val="00CF5802"/>
    <w:rsid w:val="00CF5FF2"/>
    <w:rsid w:val="00CF6DDE"/>
    <w:rsid w:val="00CF6FF1"/>
    <w:rsid w:val="00CF7311"/>
    <w:rsid w:val="00CF734C"/>
    <w:rsid w:val="00CF76C2"/>
    <w:rsid w:val="00D02158"/>
    <w:rsid w:val="00D048A7"/>
    <w:rsid w:val="00D051B9"/>
    <w:rsid w:val="00D05543"/>
    <w:rsid w:val="00D05C08"/>
    <w:rsid w:val="00D10574"/>
    <w:rsid w:val="00D10A31"/>
    <w:rsid w:val="00D10B54"/>
    <w:rsid w:val="00D111B7"/>
    <w:rsid w:val="00D13BFB"/>
    <w:rsid w:val="00D151CD"/>
    <w:rsid w:val="00D15F0D"/>
    <w:rsid w:val="00D16C00"/>
    <w:rsid w:val="00D16DEE"/>
    <w:rsid w:val="00D20003"/>
    <w:rsid w:val="00D23427"/>
    <w:rsid w:val="00D23BCF"/>
    <w:rsid w:val="00D244DC"/>
    <w:rsid w:val="00D24660"/>
    <w:rsid w:val="00D269E0"/>
    <w:rsid w:val="00D270FD"/>
    <w:rsid w:val="00D27122"/>
    <w:rsid w:val="00D3059E"/>
    <w:rsid w:val="00D30AF5"/>
    <w:rsid w:val="00D30AFD"/>
    <w:rsid w:val="00D30B9C"/>
    <w:rsid w:val="00D30EE8"/>
    <w:rsid w:val="00D345A1"/>
    <w:rsid w:val="00D379B4"/>
    <w:rsid w:val="00D40316"/>
    <w:rsid w:val="00D413BF"/>
    <w:rsid w:val="00D426B1"/>
    <w:rsid w:val="00D429B7"/>
    <w:rsid w:val="00D42D47"/>
    <w:rsid w:val="00D43055"/>
    <w:rsid w:val="00D431D5"/>
    <w:rsid w:val="00D43232"/>
    <w:rsid w:val="00D43BD4"/>
    <w:rsid w:val="00D44AD6"/>
    <w:rsid w:val="00D44E66"/>
    <w:rsid w:val="00D513B3"/>
    <w:rsid w:val="00D5247A"/>
    <w:rsid w:val="00D53418"/>
    <w:rsid w:val="00D5404C"/>
    <w:rsid w:val="00D54736"/>
    <w:rsid w:val="00D54B65"/>
    <w:rsid w:val="00D54C22"/>
    <w:rsid w:val="00D5591C"/>
    <w:rsid w:val="00D60635"/>
    <w:rsid w:val="00D60660"/>
    <w:rsid w:val="00D62A21"/>
    <w:rsid w:val="00D637D0"/>
    <w:rsid w:val="00D6383F"/>
    <w:rsid w:val="00D6526E"/>
    <w:rsid w:val="00D703FE"/>
    <w:rsid w:val="00D7165F"/>
    <w:rsid w:val="00D719E5"/>
    <w:rsid w:val="00D74E0C"/>
    <w:rsid w:val="00D750EB"/>
    <w:rsid w:val="00D7639F"/>
    <w:rsid w:val="00D77944"/>
    <w:rsid w:val="00D77BBA"/>
    <w:rsid w:val="00D83848"/>
    <w:rsid w:val="00D8487F"/>
    <w:rsid w:val="00D84F53"/>
    <w:rsid w:val="00D8517F"/>
    <w:rsid w:val="00D858F4"/>
    <w:rsid w:val="00D86EAE"/>
    <w:rsid w:val="00D874E3"/>
    <w:rsid w:val="00D876BF"/>
    <w:rsid w:val="00D936C9"/>
    <w:rsid w:val="00D94AF5"/>
    <w:rsid w:val="00D95834"/>
    <w:rsid w:val="00D95F0F"/>
    <w:rsid w:val="00D96B8B"/>
    <w:rsid w:val="00DA2205"/>
    <w:rsid w:val="00DA26DF"/>
    <w:rsid w:val="00DA2FC4"/>
    <w:rsid w:val="00DA4772"/>
    <w:rsid w:val="00DA4FD4"/>
    <w:rsid w:val="00DA58BE"/>
    <w:rsid w:val="00DA6EC8"/>
    <w:rsid w:val="00DA7D84"/>
    <w:rsid w:val="00DA7E22"/>
    <w:rsid w:val="00DB0521"/>
    <w:rsid w:val="00DB237C"/>
    <w:rsid w:val="00DB32C6"/>
    <w:rsid w:val="00DB537B"/>
    <w:rsid w:val="00DB623E"/>
    <w:rsid w:val="00DB6643"/>
    <w:rsid w:val="00DC0A38"/>
    <w:rsid w:val="00DC15F1"/>
    <w:rsid w:val="00DC1938"/>
    <w:rsid w:val="00DC220C"/>
    <w:rsid w:val="00DC285B"/>
    <w:rsid w:val="00DC40E4"/>
    <w:rsid w:val="00DC4D20"/>
    <w:rsid w:val="00DD022C"/>
    <w:rsid w:val="00DD0473"/>
    <w:rsid w:val="00DD0B1F"/>
    <w:rsid w:val="00DD281C"/>
    <w:rsid w:val="00DD2E70"/>
    <w:rsid w:val="00DD3878"/>
    <w:rsid w:val="00DD53BD"/>
    <w:rsid w:val="00DD7D50"/>
    <w:rsid w:val="00DE03BF"/>
    <w:rsid w:val="00DE0C29"/>
    <w:rsid w:val="00DE4CF1"/>
    <w:rsid w:val="00DE5C73"/>
    <w:rsid w:val="00DE64A2"/>
    <w:rsid w:val="00DE71AF"/>
    <w:rsid w:val="00DF27DD"/>
    <w:rsid w:val="00DF321C"/>
    <w:rsid w:val="00DF6642"/>
    <w:rsid w:val="00DF6E4F"/>
    <w:rsid w:val="00E02BE4"/>
    <w:rsid w:val="00E04238"/>
    <w:rsid w:val="00E049B4"/>
    <w:rsid w:val="00E0514B"/>
    <w:rsid w:val="00E05A3F"/>
    <w:rsid w:val="00E05FB1"/>
    <w:rsid w:val="00E0616E"/>
    <w:rsid w:val="00E06DAD"/>
    <w:rsid w:val="00E103B0"/>
    <w:rsid w:val="00E10D36"/>
    <w:rsid w:val="00E1107B"/>
    <w:rsid w:val="00E147DD"/>
    <w:rsid w:val="00E16E00"/>
    <w:rsid w:val="00E21237"/>
    <w:rsid w:val="00E24ECD"/>
    <w:rsid w:val="00E2569F"/>
    <w:rsid w:val="00E2614B"/>
    <w:rsid w:val="00E268D5"/>
    <w:rsid w:val="00E26E2E"/>
    <w:rsid w:val="00E27961"/>
    <w:rsid w:val="00E309CF"/>
    <w:rsid w:val="00E32DD6"/>
    <w:rsid w:val="00E33FE5"/>
    <w:rsid w:val="00E34A2A"/>
    <w:rsid w:val="00E35AF0"/>
    <w:rsid w:val="00E362B3"/>
    <w:rsid w:val="00E37EE7"/>
    <w:rsid w:val="00E406E4"/>
    <w:rsid w:val="00E41E3B"/>
    <w:rsid w:val="00E422E3"/>
    <w:rsid w:val="00E43688"/>
    <w:rsid w:val="00E44001"/>
    <w:rsid w:val="00E4452B"/>
    <w:rsid w:val="00E44559"/>
    <w:rsid w:val="00E45616"/>
    <w:rsid w:val="00E456C6"/>
    <w:rsid w:val="00E47526"/>
    <w:rsid w:val="00E47B5C"/>
    <w:rsid w:val="00E5289B"/>
    <w:rsid w:val="00E535FA"/>
    <w:rsid w:val="00E55CF2"/>
    <w:rsid w:val="00E56BA7"/>
    <w:rsid w:val="00E5771D"/>
    <w:rsid w:val="00E5772B"/>
    <w:rsid w:val="00E5794E"/>
    <w:rsid w:val="00E57C52"/>
    <w:rsid w:val="00E60187"/>
    <w:rsid w:val="00E606E9"/>
    <w:rsid w:val="00E6382D"/>
    <w:rsid w:val="00E63FCD"/>
    <w:rsid w:val="00E64F8A"/>
    <w:rsid w:val="00E65894"/>
    <w:rsid w:val="00E663C9"/>
    <w:rsid w:val="00E67750"/>
    <w:rsid w:val="00E677E7"/>
    <w:rsid w:val="00E71190"/>
    <w:rsid w:val="00E72CE7"/>
    <w:rsid w:val="00E73A7A"/>
    <w:rsid w:val="00E75CA7"/>
    <w:rsid w:val="00E763F4"/>
    <w:rsid w:val="00E76523"/>
    <w:rsid w:val="00E766F9"/>
    <w:rsid w:val="00E76A46"/>
    <w:rsid w:val="00E76B5C"/>
    <w:rsid w:val="00E7701B"/>
    <w:rsid w:val="00E80A39"/>
    <w:rsid w:val="00E81989"/>
    <w:rsid w:val="00E81B24"/>
    <w:rsid w:val="00E836AF"/>
    <w:rsid w:val="00E8392E"/>
    <w:rsid w:val="00E85601"/>
    <w:rsid w:val="00E85EF4"/>
    <w:rsid w:val="00E85EFB"/>
    <w:rsid w:val="00E85F80"/>
    <w:rsid w:val="00E86E91"/>
    <w:rsid w:val="00E90083"/>
    <w:rsid w:val="00E92B55"/>
    <w:rsid w:val="00E92CEE"/>
    <w:rsid w:val="00E94566"/>
    <w:rsid w:val="00E94800"/>
    <w:rsid w:val="00E94860"/>
    <w:rsid w:val="00E96491"/>
    <w:rsid w:val="00E967DC"/>
    <w:rsid w:val="00E97C4F"/>
    <w:rsid w:val="00EA19C9"/>
    <w:rsid w:val="00EA613B"/>
    <w:rsid w:val="00EA63A7"/>
    <w:rsid w:val="00EA659F"/>
    <w:rsid w:val="00EA739D"/>
    <w:rsid w:val="00EB0153"/>
    <w:rsid w:val="00EB02F7"/>
    <w:rsid w:val="00EB146E"/>
    <w:rsid w:val="00EB1E10"/>
    <w:rsid w:val="00EB3F54"/>
    <w:rsid w:val="00EB4B23"/>
    <w:rsid w:val="00EB61B9"/>
    <w:rsid w:val="00EB7547"/>
    <w:rsid w:val="00EB7684"/>
    <w:rsid w:val="00EC008D"/>
    <w:rsid w:val="00EC0FD6"/>
    <w:rsid w:val="00EC2B23"/>
    <w:rsid w:val="00EC49C5"/>
    <w:rsid w:val="00EC4A17"/>
    <w:rsid w:val="00EC58CC"/>
    <w:rsid w:val="00EC744D"/>
    <w:rsid w:val="00ED10BE"/>
    <w:rsid w:val="00ED1D3A"/>
    <w:rsid w:val="00ED256B"/>
    <w:rsid w:val="00ED2850"/>
    <w:rsid w:val="00ED44D2"/>
    <w:rsid w:val="00ED4C2B"/>
    <w:rsid w:val="00ED65A6"/>
    <w:rsid w:val="00ED74DD"/>
    <w:rsid w:val="00EE0440"/>
    <w:rsid w:val="00EE08E8"/>
    <w:rsid w:val="00EE1EE0"/>
    <w:rsid w:val="00EE6196"/>
    <w:rsid w:val="00EE6349"/>
    <w:rsid w:val="00EE77A2"/>
    <w:rsid w:val="00EF0867"/>
    <w:rsid w:val="00EF09B6"/>
    <w:rsid w:val="00EF0A2F"/>
    <w:rsid w:val="00EF1536"/>
    <w:rsid w:val="00EF31CF"/>
    <w:rsid w:val="00EF478C"/>
    <w:rsid w:val="00EF4C0F"/>
    <w:rsid w:val="00EF5557"/>
    <w:rsid w:val="00EF5966"/>
    <w:rsid w:val="00EF63BE"/>
    <w:rsid w:val="00EF7692"/>
    <w:rsid w:val="00F00A6C"/>
    <w:rsid w:val="00F0224C"/>
    <w:rsid w:val="00F02806"/>
    <w:rsid w:val="00F02A49"/>
    <w:rsid w:val="00F02C16"/>
    <w:rsid w:val="00F07EF1"/>
    <w:rsid w:val="00F115B7"/>
    <w:rsid w:val="00F11F96"/>
    <w:rsid w:val="00F126CB"/>
    <w:rsid w:val="00F12DCE"/>
    <w:rsid w:val="00F12FAD"/>
    <w:rsid w:val="00F13B57"/>
    <w:rsid w:val="00F141EC"/>
    <w:rsid w:val="00F142CB"/>
    <w:rsid w:val="00F16571"/>
    <w:rsid w:val="00F16A17"/>
    <w:rsid w:val="00F16E74"/>
    <w:rsid w:val="00F20BE3"/>
    <w:rsid w:val="00F20E96"/>
    <w:rsid w:val="00F21E44"/>
    <w:rsid w:val="00F245E4"/>
    <w:rsid w:val="00F25A51"/>
    <w:rsid w:val="00F260C9"/>
    <w:rsid w:val="00F272B2"/>
    <w:rsid w:val="00F27CCD"/>
    <w:rsid w:val="00F30B11"/>
    <w:rsid w:val="00F30F4A"/>
    <w:rsid w:val="00F31418"/>
    <w:rsid w:val="00F32DEE"/>
    <w:rsid w:val="00F34519"/>
    <w:rsid w:val="00F34A43"/>
    <w:rsid w:val="00F3522A"/>
    <w:rsid w:val="00F35998"/>
    <w:rsid w:val="00F41FCA"/>
    <w:rsid w:val="00F423D6"/>
    <w:rsid w:val="00F44C19"/>
    <w:rsid w:val="00F44F26"/>
    <w:rsid w:val="00F455C2"/>
    <w:rsid w:val="00F457C3"/>
    <w:rsid w:val="00F45C7C"/>
    <w:rsid w:val="00F45F79"/>
    <w:rsid w:val="00F470C5"/>
    <w:rsid w:val="00F47CAA"/>
    <w:rsid w:val="00F502BA"/>
    <w:rsid w:val="00F5059C"/>
    <w:rsid w:val="00F5362C"/>
    <w:rsid w:val="00F5385D"/>
    <w:rsid w:val="00F538CE"/>
    <w:rsid w:val="00F55B9C"/>
    <w:rsid w:val="00F573A4"/>
    <w:rsid w:val="00F57711"/>
    <w:rsid w:val="00F615E4"/>
    <w:rsid w:val="00F6247F"/>
    <w:rsid w:val="00F630EF"/>
    <w:rsid w:val="00F64960"/>
    <w:rsid w:val="00F65186"/>
    <w:rsid w:val="00F65A4D"/>
    <w:rsid w:val="00F67987"/>
    <w:rsid w:val="00F67DD9"/>
    <w:rsid w:val="00F7009B"/>
    <w:rsid w:val="00F70C0E"/>
    <w:rsid w:val="00F7137F"/>
    <w:rsid w:val="00F7150E"/>
    <w:rsid w:val="00F71B25"/>
    <w:rsid w:val="00F71CE2"/>
    <w:rsid w:val="00F724E2"/>
    <w:rsid w:val="00F73835"/>
    <w:rsid w:val="00F73A5A"/>
    <w:rsid w:val="00F742F9"/>
    <w:rsid w:val="00F7764C"/>
    <w:rsid w:val="00F80A20"/>
    <w:rsid w:val="00F819EA"/>
    <w:rsid w:val="00F82744"/>
    <w:rsid w:val="00F828C2"/>
    <w:rsid w:val="00F82F67"/>
    <w:rsid w:val="00F83463"/>
    <w:rsid w:val="00F8507F"/>
    <w:rsid w:val="00F85329"/>
    <w:rsid w:val="00F864B6"/>
    <w:rsid w:val="00F90544"/>
    <w:rsid w:val="00F922F9"/>
    <w:rsid w:val="00F9421B"/>
    <w:rsid w:val="00F94818"/>
    <w:rsid w:val="00F94FF9"/>
    <w:rsid w:val="00F95D36"/>
    <w:rsid w:val="00F9791A"/>
    <w:rsid w:val="00FA02D8"/>
    <w:rsid w:val="00FA0BA7"/>
    <w:rsid w:val="00FA0E9D"/>
    <w:rsid w:val="00FA2355"/>
    <w:rsid w:val="00FA2895"/>
    <w:rsid w:val="00FA2933"/>
    <w:rsid w:val="00FA5990"/>
    <w:rsid w:val="00FA59BC"/>
    <w:rsid w:val="00FA6422"/>
    <w:rsid w:val="00FA72B1"/>
    <w:rsid w:val="00FB05EA"/>
    <w:rsid w:val="00FB21F4"/>
    <w:rsid w:val="00FB2AE2"/>
    <w:rsid w:val="00FB3A54"/>
    <w:rsid w:val="00FB3D04"/>
    <w:rsid w:val="00FB43F5"/>
    <w:rsid w:val="00FB71FE"/>
    <w:rsid w:val="00FB7D79"/>
    <w:rsid w:val="00FC3370"/>
    <w:rsid w:val="00FC372B"/>
    <w:rsid w:val="00FC3C0B"/>
    <w:rsid w:val="00FC43F4"/>
    <w:rsid w:val="00FC527B"/>
    <w:rsid w:val="00FC62E0"/>
    <w:rsid w:val="00FD0195"/>
    <w:rsid w:val="00FD1831"/>
    <w:rsid w:val="00FD2AD5"/>
    <w:rsid w:val="00FD4657"/>
    <w:rsid w:val="00FD489F"/>
    <w:rsid w:val="00FD6F36"/>
    <w:rsid w:val="00FD78CF"/>
    <w:rsid w:val="00FD7E27"/>
    <w:rsid w:val="00FE0783"/>
    <w:rsid w:val="00FE0CE3"/>
    <w:rsid w:val="00FE18BF"/>
    <w:rsid w:val="00FE1BEC"/>
    <w:rsid w:val="00FE3E5B"/>
    <w:rsid w:val="00FE49B3"/>
    <w:rsid w:val="00FE5AB7"/>
    <w:rsid w:val="00FE6063"/>
    <w:rsid w:val="00FF1C46"/>
    <w:rsid w:val="00FF3A79"/>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8CF9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exact"/>
    </w:pPr>
    <w:rPr>
      <w:spacing w:val="4"/>
      <w:w w:val="103"/>
      <w:kern w:val="14"/>
      <w:lang w:val="en-GB" w:eastAsia="es-ES"/>
    </w:rPr>
  </w:style>
  <w:style w:type="paragraph" w:styleId="Ttulo7">
    <w:name w:val="heading 7"/>
    <w:basedOn w:val="Normal"/>
    <w:next w:val="Normal"/>
    <w:link w:val="Ttulo7Car"/>
    <w:uiPriority w:val="9"/>
    <w:semiHidden/>
    <w:unhideWhenUsed/>
    <w:qFormat/>
    <w:rsid w:val="00603BDA"/>
    <w:pPr>
      <w:keepNext/>
      <w:keepLines/>
      <w:numPr>
        <w:ilvl w:val="6"/>
        <w:numId w:val="4"/>
      </w:numPr>
      <w:spacing w:before="200"/>
      <w:outlineLvl w:val="6"/>
    </w:pPr>
    <w:rPr>
      <w:rFonts w:ascii="Cambria" w:eastAsia="SimSun" w:hAnsi="Cambria"/>
      <w:i/>
      <w:iCs/>
      <w:color w:val="404040"/>
      <w:lang w:val="es-ES" w:eastAsia="en-US"/>
    </w:rPr>
  </w:style>
  <w:style w:type="paragraph" w:styleId="Ttulo8">
    <w:name w:val="heading 8"/>
    <w:basedOn w:val="Normal"/>
    <w:next w:val="Normal"/>
    <w:link w:val="Ttulo8Car"/>
    <w:uiPriority w:val="9"/>
    <w:semiHidden/>
    <w:unhideWhenUsed/>
    <w:qFormat/>
    <w:rsid w:val="00603BDA"/>
    <w:pPr>
      <w:keepNext/>
      <w:keepLines/>
      <w:numPr>
        <w:ilvl w:val="7"/>
        <w:numId w:val="4"/>
      </w:numPr>
      <w:spacing w:before="200"/>
      <w:outlineLvl w:val="7"/>
    </w:pPr>
    <w:rPr>
      <w:rFonts w:ascii="Cambria" w:eastAsia="SimSun" w:hAnsi="Cambria"/>
      <w:color w:val="404040"/>
      <w:lang w:val="es-ES" w:eastAsia="en-US"/>
    </w:rPr>
  </w:style>
  <w:style w:type="paragraph" w:styleId="Ttulo9">
    <w:name w:val="heading 9"/>
    <w:basedOn w:val="Normal"/>
    <w:next w:val="Normal"/>
    <w:link w:val="Ttulo9Car"/>
    <w:uiPriority w:val="9"/>
    <w:semiHidden/>
    <w:unhideWhenUsed/>
    <w:qFormat/>
    <w:rsid w:val="00603BDA"/>
    <w:pPr>
      <w:keepNext/>
      <w:keepLines/>
      <w:numPr>
        <w:ilvl w:val="8"/>
        <w:numId w:val="4"/>
      </w:numPr>
      <w:spacing w:before="200"/>
      <w:outlineLvl w:val="8"/>
    </w:pPr>
    <w:rPr>
      <w:rFonts w:ascii="Cambria" w:eastAsia="SimSun" w:hAnsi="Cambria"/>
      <w:i/>
      <w:iCs/>
      <w:color w:val="40404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semiHidden/>
    <w:locked/>
    <w:rsid w:val="00603BDA"/>
    <w:rPr>
      <w:rFonts w:ascii="Cambria" w:eastAsia="SimSun" w:hAnsi="Cambria"/>
      <w:i/>
      <w:iCs/>
      <w:color w:val="404040"/>
      <w:spacing w:val="4"/>
      <w:w w:val="103"/>
      <w:kern w:val="14"/>
      <w:lang w:eastAsia="en-US"/>
    </w:rPr>
  </w:style>
  <w:style w:type="character" w:customStyle="1" w:styleId="Ttulo8Car">
    <w:name w:val="Título 8 Car"/>
    <w:basedOn w:val="Fuentedeprrafopredeter"/>
    <w:link w:val="Ttulo8"/>
    <w:uiPriority w:val="9"/>
    <w:semiHidden/>
    <w:locked/>
    <w:rsid w:val="00603BDA"/>
    <w:rPr>
      <w:rFonts w:ascii="Cambria" w:eastAsia="SimSun" w:hAnsi="Cambria"/>
      <w:color w:val="404040"/>
      <w:spacing w:val="4"/>
      <w:w w:val="103"/>
      <w:kern w:val="14"/>
      <w:lang w:eastAsia="en-US"/>
    </w:rPr>
  </w:style>
  <w:style w:type="character" w:customStyle="1" w:styleId="Ttulo9Car">
    <w:name w:val="Título 9 Car"/>
    <w:basedOn w:val="Fuentedeprrafopredeter"/>
    <w:link w:val="Ttulo9"/>
    <w:uiPriority w:val="9"/>
    <w:semiHidden/>
    <w:locked/>
    <w:rsid w:val="00603BDA"/>
    <w:rPr>
      <w:rFonts w:ascii="Cambria" w:eastAsia="SimSun" w:hAnsi="Cambria"/>
      <w:i/>
      <w:iCs/>
      <w:color w:val="404040"/>
      <w:spacing w:val="4"/>
      <w:w w:val="103"/>
      <w:kern w:val="14"/>
      <w:lang w:eastAsia="en-US"/>
    </w:rPr>
  </w:style>
  <w:style w:type="paragraph" w:customStyle="1" w:styleId="H1">
    <w:name w:val="_ H_1"/>
    <w:basedOn w:val="Normal"/>
    <w:next w:val="SingleTxt"/>
    <w:qForma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bCs/>
      <w:sz w:val="24"/>
      <w:szCs w:val="24"/>
    </w:rPr>
  </w:style>
  <w:style w:type="paragraph" w:customStyle="1" w:styleId="HCh">
    <w:name w:val="_ H _Ch"/>
    <w:basedOn w:val="H1"/>
    <w:next w:val="SingleTxt"/>
    <w:qFormat/>
    <w:pPr>
      <w:spacing w:line="300" w:lineRule="exact"/>
      <w:ind w:left="0" w:right="0" w:firstLine="0"/>
    </w:pPr>
    <w:rPr>
      <w:spacing w:val="-2"/>
      <w:sz w:val="28"/>
      <w:szCs w:val="28"/>
    </w:rPr>
  </w:style>
  <w:style w:type="paragraph" w:customStyle="1" w:styleId="HM">
    <w:name w:val="_ H __M"/>
    <w:basedOn w:val="HCh"/>
    <w:next w:val="Normal"/>
    <w:qFormat/>
    <w:pPr>
      <w:spacing w:line="360" w:lineRule="exact"/>
    </w:pPr>
    <w:rPr>
      <w:spacing w:val="-3"/>
      <w:w w:val="99"/>
      <w:sz w:val="34"/>
      <w:szCs w:val="34"/>
    </w:rPr>
  </w:style>
  <w:style w:type="paragraph" w:customStyle="1" w:styleId="H23">
    <w:name w:val="_ H_2/3"/>
    <w:basedOn w:val="H1"/>
    <w:next w:val="SingleTxt"/>
    <w:qFormat/>
    <w:pPr>
      <w:spacing w:line="240" w:lineRule="exact"/>
      <w:outlineLvl w:val="1"/>
    </w:pPr>
    <w:rPr>
      <w:spacing w:val="2"/>
      <w:sz w:val="20"/>
      <w:szCs w:val="20"/>
    </w:rPr>
  </w:style>
  <w:style w:type="paragraph" w:customStyle="1" w:styleId="H4">
    <w:name w:val="_ H_4"/>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iCs/>
      <w:spacing w:val="3"/>
    </w:rPr>
  </w:style>
  <w:style w:type="paragraph" w:customStyle="1" w:styleId="H56">
    <w:name w:val="_ H_5/6"/>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link w:val="SingleTxtChar"/>
    <w:qFormat/>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xtodeglobo">
    <w:name w:val="Balloon Text"/>
    <w:basedOn w:val="Normal"/>
    <w:link w:val="TextodegloboCar"/>
    <w:uiPriority w:val="99"/>
    <w:semiHidden/>
    <w:rPr>
      <w:rFonts w:eastAsia="SimSun"/>
      <w:b/>
      <w:sz w:val="18"/>
      <w:szCs w:val="16"/>
    </w:rPr>
  </w:style>
  <w:style w:type="character" w:customStyle="1" w:styleId="TextodegloboCar">
    <w:name w:val="Texto de globo Car"/>
    <w:basedOn w:val="Fuentedeprrafopredeter"/>
    <w:link w:val="Textodeglobo"/>
    <w:uiPriority w:val="99"/>
    <w:semiHidden/>
    <w:locked/>
    <w:rPr>
      <w:rFonts w:eastAsia="SimSun"/>
      <w:b/>
      <w:spacing w:val="4"/>
      <w:w w:val="103"/>
      <w:kern w:val="14"/>
      <w:sz w:val="18"/>
      <w:szCs w:val="16"/>
      <w:lang w:val="en-GB" w:eastAsia="es-ES"/>
    </w:rPr>
  </w:style>
  <w:style w:type="character" w:styleId="Refdecomentario">
    <w:name w:val="annotation reference"/>
    <w:basedOn w:val="Fuentedeprrafopredeter"/>
    <w:uiPriority w:val="99"/>
    <w:semiHidden/>
    <w:rPr>
      <w:rFonts w:cs="Times New Roman"/>
      <w:sz w:val="6"/>
    </w:rPr>
  </w:style>
  <w:style w:type="character" w:styleId="Refdenotaalpie">
    <w:name w:val="footnote reference"/>
    <w:aliases w:val="4_G,Ref,de nota al pie,Footnote Reference Number,ftref,Footnotes refss,Footnote Reference1,16 Point,Superscript 6 Point,Times 10 Point,Exposant 3 Point,Footnote symbol,Footnote reference number,EN Footnote Reference,note TESI,сноска"/>
    <w:basedOn w:val="Fuentedeprrafopredeter"/>
    <w:qFormat/>
    <w:rPr>
      <w:rFonts w:cs="Times New Roman"/>
      <w:color w:val="auto"/>
      <w:spacing w:val="5"/>
      <w:w w:val="103"/>
      <w:kern w:val="14"/>
      <w:position w:val="0"/>
      <w:vertAlign w:val="superscript"/>
    </w:rPr>
  </w:style>
  <w:style w:type="character" w:styleId="Refdenotaalfinal">
    <w:name w:val="endnote reference"/>
    <w:basedOn w:val="Fuentedeprrafopredeter"/>
    <w:uiPriority w:val="99"/>
    <w:semiHidden/>
    <w:rPr>
      <w:rFonts w:cs="Times New Roman"/>
      <w:color w:val="auto"/>
      <w:spacing w:val="5"/>
      <w:w w:val="103"/>
      <w:kern w:val="14"/>
      <w:position w:val="0"/>
      <w:vertAlign w:val="superscript"/>
    </w:rPr>
  </w:style>
  <w:style w:type="paragraph" w:styleId="Textonotapie">
    <w:name w:val="footnote text"/>
    <w:aliases w:val="5_G,fn,Footnote Text Char Char Char,single space,Текст сноски Знак,Footnote Reference2,FA Fu,Footnote Text Char Char Char Char Char,Footnote Text Char Char Char Car,Footnote Text Char Char Char Car Car Car Car Car Car,Fußnote,Char,f,ADB"/>
    <w:basedOn w:val="Normal"/>
    <w:link w:val="TextonotapieCar"/>
    <w:uiPriority w:val="99"/>
    <w:qFormat/>
    <w:pPr>
      <w:widowControl w:val="0"/>
      <w:tabs>
        <w:tab w:val="right" w:pos="418"/>
      </w:tabs>
      <w:spacing w:line="210" w:lineRule="exact"/>
      <w:ind w:left="475" w:hanging="475"/>
    </w:pPr>
    <w:rPr>
      <w:spacing w:val="5"/>
      <w:sz w:val="17"/>
      <w:szCs w:val="17"/>
    </w:rPr>
  </w:style>
  <w:style w:type="character" w:customStyle="1" w:styleId="TextonotapieCar">
    <w:name w:val="Texto nota pie Car"/>
    <w:aliases w:val="5_G Car,fn Car,Footnote Text Char Char Char Car1,single space Car,Текст сноски Знак Car,Footnote Reference2 Car,FA Fu Car,Footnote Text Char Char Char Char Char Car,Footnote Text Char Char Char Car Car,Fußnote Car,Char Car,f Car"/>
    <w:basedOn w:val="Fuentedeprrafopredeter"/>
    <w:link w:val="Textonotapie"/>
    <w:uiPriority w:val="99"/>
    <w:locked/>
    <w:rPr>
      <w:rFonts w:cs="Times New Roman"/>
      <w:spacing w:val="4"/>
      <w:w w:val="103"/>
      <w:kern w:val="14"/>
      <w:lang w:val="en-GB" w:eastAsia="x-none"/>
    </w:rPr>
  </w:style>
  <w:style w:type="paragraph" w:styleId="Textonotaalfinal">
    <w:name w:val="endnote text"/>
    <w:basedOn w:val="Textonotapie"/>
    <w:link w:val="TextonotaalfinalCar"/>
    <w:uiPriority w:val="99"/>
    <w:semiHidden/>
  </w:style>
  <w:style w:type="character" w:customStyle="1" w:styleId="TextonotaalfinalCar">
    <w:name w:val="Texto nota al final Car"/>
    <w:basedOn w:val="Fuentedeprrafopredeter"/>
    <w:link w:val="Textonotaalfinal"/>
    <w:uiPriority w:val="99"/>
    <w:semiHidden/>
    <w:locked/>
    <w:rPr>
      <w:rFonts w:cs="Times New Roman"/>
      <w:spacing w:val="4"/>
      <w:w w:val="103"/>
      <w:kern w:val="14"/>
      <w:lang w:val="en-GB" w:eastAsia="x-none"/>
    </w:rPr>
  </w:style>
  <w:style w:type="paragraph" w:styleId="Piedepgina">
    <w:name w:val="footer"/>
    <w:basedOn w:val="Normal"/>
    <w:link w:val="PiedepginaCar"/>
    <w:uiPriority w:val="99"/>
    <w:pPr>
      <w:tabs>
        <w:tab w:val="center" w:pos="4320"/>
        <w:tab w:val="right" w:pos="8640"/>
      </w:tabs>
      <w:suppressAutoHyphens w:val="0"/>
      <w:spacing w:line="240" w:lineRule="auto"/>
    </w:pPr>
    <w:rPr>
      <w:b/>
      <w:bCs/>
      <w:noProof/>
      <w:spacing w:val="0"/>
      <w:w w:val="100"/>
      <w:kern w:val="0"/>
      <w:sz w:val="17"/>
      <w:szCs w:val="17"/>
      <w:lang w:val="es-ES"/>
    </w:rPr>
  </w:style>
  <w:style w:type="character" w:customStyle="1" w:styleId="PiedepginaCar">
    <w:name w:val="Pie de página Car"/>
    <w:basedOn w:val="Fuentedeprrafopredeter"/>
    <w:link w:val="Piedepgina"/>
    <w:uiPriority w:val="99"/>
    <w:semiHidden/>
    <w:locked/>
    <w:rPr>
      <w:rFonts w:cs="Times New Roman"/>
      <w:spacing w:val="4"/>
      <w:w w:val="103"/>
      <w:kern w:val="14"/>
      <w:lang w:val="en-GB" w:eastAsia="x-none"/>
    </w:rPr>
  </w:style>
  <w:style w:type="paragraph" w:styleId="Encabezado">
    <w:name w:val="header"/>
    <w:basedOn w:val="Normal"/>
    <w:link w:val="EncabezadoCar"/>
    <w:uiPriority w:val="99"/>
    <w:pPr>
      <w:tabs>
        <w:tab w:val="center" w:pos="4320"/>
        <w:tab w:val="right" w:pos="8640"/>
      </w:tabs>
      <w:suppressAutoHyphens w:val="0"/>
      <w:spacing w:line="240" w:lineRule="auto"/>
    </w:pPr>
    <w:rPr>
      <w:noProof/>
      <w:spacing w:val="0"/>
      <w:w w:val="100"/>
      <w:kern w:val="0"/>
      <w:sz w:val="17"/>
      <w:szCs w:val="17"/>
      <w:lang w:val="es-ES"/>
    </w:rPr>
  </w:style>
  <w:style w:type="character" w:customStyle="1" w:styleId="EncabezadoCar">
    <w:name w:val="Encabezado Car"/>
    <w:basedOn w:val="Fuentedeprrafopredeter"/>
    <w:link w:val="Encabezado"/>
    <w:uiPriority w:val="99"/>
    <w:semiHidden/>
    <w:locked/>
    <w:rPr>
      <w:rFonts w:cs="Times New Roman"/>
      <w:spacing w:val="4"/>
      <w:w w:val="103"/>
      <w:kern w:val="14"/>
      <w:lang w:val="en-GB" w:eastAsia="x-none"/>
    </w:rPr>
  </w:style>
  <w:style w:type="character" w:styleId="Nmerodelnea">
    <w:name w:val="line number"/>
    <w:basedOn w:val="Fuentedeprrafopredeter"/>
    <w:uiPriority w:val="99"/>
    <w:rPr>
      <w:rFonts w:cs="Times New Roman"/>
      <w:sz w:val="14"/>
    </w:rPr>
  </w:style>
  <w:style w:type="paragraph" w:customStyle="1" w:styleId="Small">
    <w:name w:val="Small"/>
    <w:basedOn w:val="Normal"/>
    <w:next w:val="Normal"/>
    <w:pPr>
      <w:tabs>
        <w:tab w:val="right" w:pos="9965"/>
      </w:tabs>
      <w:spacing w:line="210" w:lineRule="exact"/>
    </w:pPr>
    <w:rPr>
      <w:spacing w:val="5"/>
      <w:w w:val="104"/>
      <w:sz w:val="17"/>
      <w:szCs w:val="17"/>
    </w:rPr>
  </w:style>
  <w:style w:type="paragraph" w:customStyle="1" w:styleId="SmallX">
    <w:name w:val="SmallX"/>
    <w:basedOn w:val="Small"/>
    <w:next w:val="Normal"/>
    <w:pPr>
      <w:spacing w:line="180" w:lineRule="exact"/>
      <w:jc w:val="right"/>
    </w:pPr>
    <w:rPr>
      <w:spacing w:val="6"/>
      <w:w w:val="106"/>
      <w:sz w:val="14"/>
      <w:szCs w:val="14"/>
    </w:rPr>
  </w:style>
  <w:style w:type="paragraph" w:customStyle="1" w:styleId="XLarge">
    <w:name w:val="XLarge"/>
    <w:basedOn w:val="HM"/>
    <w:pPr>
      <w:spacing w:line="390" w:lineRule="exact"/>
    </w:pPr>
    <w:rPr>
      <w:spacing w:val="-4"/>
      <w:w w:val="98"/>
      <w:sz w:val="40"/>
      <w:szCs w:val="40"/>
    </w:rPr>
  </w:style>
  <w:style w:type="paragraph" w:styleId="Textosinformato">
    <w:name w:val="Plain Text"/>
    <w:basedOn w:val="Normal"/>
    <w:link w:val="TextosinformatoCar"/>
    <w:uiPriority w:val="99"/>
    <w:pPr>
      <w:suppressAutoHyphens w:val="0"/>
      <w:spacing w:line="240" w:lineRule="auto"/>
    </w:pPr>
    <w:rPr>
      <w:rFonts w:ascii="Courier New" w:hAnsi="Courier New" w:cs="Courier New"/>
      <w:spacing w:val="0"/>
      <w:w w:val="100"/>
      <w:kern w:val="0"/>
      <w:lang w:val="en-US"/>
    </w:rPr>
  </w:style>
  <w:style w:type="character" w:customStyle="1" w:styleId="TextosinformatoCar">
    <w:name w:val="Texto sin formato Car"/>
    <w:basedOn w:val="Fuentedeprrafopredeter"/>
    <w:link w:val="Textosinformato"/>
    <w:uiPriority w:val="99"/>
    <w:semiHidden/>
    <w:locked/>
    <w:rPr>
      <w:rFonts w:ascii="Courier New" w:hAnsi="Courier New" w:cs="Times New Roman"/>
      <w:spacing w:val="4"/>
      <w:w w:val="103"/>
      <w:kern w:val="14"/>
      <w:lang w:val="en-GB" w:eastAsia="x-none"/>
    </w:rPr>
  </w:style>
  <w:style w:type="table" w:styleId="Tablaconcuadrcula">
    <w:name w:val="Table Grid"/>
    <w:basedOn w:val="Tablanormal"/>
    <w:uiPriority w:val="59"/>
    <w:pPr>
      <w:suppressAutoHyphens/>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Normal">
    <w:name w:val="Agenda_Item_Normal"/>
    <w:next w:val="Normal"/>
    <w:rPr>
      <w:spacing w:val="4"/>
      <w:w w:val="103"/>
      <w:kern w:val="14"/>
      <w:lang w:val="en-GB" w:eastAsia="es-ES"/>
    </w:rPr>
  </w:style>
  <w:style w:type="paragraph" w:customStyle="1" w:styleId="TitleH1">
    <w:name w:val="Title_H1"/>
    <w:basedOn w:val="H1"/>
    <w:next w:val="Normal"/>
    <w:qFormat/>
    <w:pPr>
      <w:keepNext w:val="0"/>
      <w:keepLines w:val="0"/>
    </w:pPr>
  </w:style>
  <w:style w:type="paragraph" w:customStyle="1" w:styleId="Session">
    <w:name w:val="Session"/>
    <w:basedOn w:val="H23"/>
    <w:pPr>
      <w:ind w:left="0" w:firstLine="0"/>
    </w:pPr>
    <w:rPr>
      <w:spacing w:val="4"/>
    </w:rPr>
  </w:style>
  <w:style w:type="paragraph" w:customStyle="1" w:styleId="AgendaTitleH2">
    <w:name w:val="Agenda_Title_H2"/>
    <w:basedOn w:val="TitleH1"/>
    <w:next w:val="Normal"/>
    <w:pPr>
      <w:keepNext/>
      <w:keepLines/>
      <w:spacing w:line="240" w:lineRule="exact"/>
      <w:ind w:left="0" w:firstLine="0"/>
      <w:outlineLvl w:val="1"/>
    </w:pPr>
    <w:rPr>
      <w:sz w:val="20"/>
      <w:szCs w:val="20"/>
    </w:rPr>
  </w:style>
  <w:style w:type="paragraph" w:customStyle="1" w:styleId="TitleHCH">
    <w:name w:val="Title_H_CH"/>
    <w:basedOn w:val="HCh"/>
    <w:next w:val="SingleTxt"/>
    <w:qFormat/>
    <w:pPr>
      <w:ind w:left="1267" w:right="1267" w:hanging="1267"/>
    </w:pPr>
  </w:style>
  <w:style w:type="paragraph" w:customStyle="1" w:styleId="TitleH2">
    <w:name w:val="Title_H2"/>
    <w:basedOn w:val="H23"/>
    <w:qFormat/>
  </w:style>
  <w:style w:type="paragraph" w:customStyle="1" w:styleId="Distribution">
    <w:name w:val="Distribution"/>
    <w:next w:val="Normal"/>
    <w:pPr>
      <w:spacing w:before="240"/>
    </w:pPr>
    <w:rPr>
      <w:spacing w:val="4"/>
      <w:w w:val="103"/>
      <w:kern w:val="14"/>
      <w:lang w:val="en-GB" w:eastAsia="es-ES"/>
    </w:rPr>
  </w:style>
  <w:style w:type="paragraph" w:customStyle="1" w:styleId="Publication">
    <w:name w:val="Publication"/>
    <w:next w:val="Normal"/>
    <w:rPr>
      <w:spacing w:val="4"/>
      <w:w w:val="103"/>
      <w:kern w:val="14"/>
      <w:lang w:val="en-GB" w:eastAsia="es-ES"/>
    </w:rPr>
  </w:style>
  <w:style w:type="paragraph" w:customStyle="1" w:styleId="Original">
    <w:name w:val="Original"/>
    <w:next w:val="Normal"/>
    <w:rPr>
      <w:spacing w:val="4"/>
      <w:w w:val="103"/>
      <w:kern w:val="14"/>
      <w:lang w:val="en-GB" w:eastAsia="es-ES"/>
    </w:rPr>
  </w:style>
  <w:style w:type="paragraph" w:customStyle="1" w:styleId="ReleaseDate">
    <w:name w:val="Release Date"/>
    <w:next w:val="Piedepgina"/>
    <w:rPr>
      <w:spacing w:val="4"/>
      <w:w w:val="103"/>
      <w:kern w:val="14"/>
      <w:lang w:val="en-GB" w:eastAsia="es-ES"/>
    </w:rPr>
  </w:style>
  <w:style w:type="character" w:styleId="Hipervnculo">
    <w:name w:val="Hyperlink"/>
    <w:basedOn w:val="Fuentedeprrafopredeter"/>
    <w:uiPriority w:val="99"/>
    <w:rPr>
      <w:rFonts w:cs="Times New Roman"/>
      <w:color w:val="0000FF"/>
      <w:u w:val="none"/>
    </w:rPr>
  </w:style>
  <w:style w:type="paragraph" w:customStyle="1" w:styleId="Bullet1">
    <w:name w:val="Bullet 1"/>
    <w:basedOn w:val="Normal"/>
    <w:pPr>
      <w:numPr>
        <w:numId w:val="2"/>
      </w:numPr>
      <w:spacing w:after="120" w:line="240" w:lineRule="atLeast"/>
      <w:ind w:left="1743" w:right="1267" w:hanging="130"/>
      <w:jc w:val="both"/>
    </w:pPr>
  </w:style>
  <w:style w:type="paragraph" w:customStyle="1" w:styleId="Bullet2">
    <w:name w:val="Bullet 2"/>
    <w:basedOn w:val="Normal"/>
    <w:pPr>
      <w:numPr>
        <w:numId w:val="1"/>
      </w:numPr>
      <w:spacing w:after="120"/>
      <w:ind w:left="2217" w:right="1264" w:hanging="130"/>
      <w:jc w:val="both"/>
    </w:pPr>
  </w:style>
  <w:style w:type="paragraph" w:customStyle="1" w:styleId="Bullet3">
    <w:name w:val="Bullet 3"/>
    <w:basedOn w:val="SingleTxt"/>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xtocomentario">
    <w:name w:val="annotation text"/>
    <w:basedOn w:val="Normal"/>
    <w:link w:val="TextocomentarioCar"/>
    <w:uiPriority w:val="99"/>
    <w:semiHidden/>
    <w:pPr>
      <w:spacing w:line="240" w:lineRule="auto"/>
    </w:pPr>
    <w:rPr>
      <w:rFonts w:eastAsia="SimSun"/>
      <w:sz w:val="18"/>
    </w:rPr>
  </w:style>
  <w:style w:type="character" w:customStyle="1" w:styleId="TextocomentarioCar">
    <w:name w:val="Texto comentario Car"/>
    <w:basedOn w:val="Fuentedeprrafopredeter"/>
    <w:link w:val="Textocomentario"/>
    <w:uiPriority w:val="99"/>
    <w:semiHidden/>
    <w:locked/>
    <w:rPr>
      <w:rFonts w:eastAsia="SimSun"/>
      <w:spacing w:val="4"/>
      <w:w w:val="103"/>
      <w:kern w:val="14"/>
      <w:sz w:val="18"/>
      <w:lang w:val="en-GB" w:eastAsia="es-ES"/>
    </w:rPr>
  </w:style>
  <w:style w:type="character" w:customStyle="1" w:styleId="CarCar1">
    <w:name w:val="Car Car1"/>
    <w:locked/>
    <w:rPr>
      <w:spacing w:val="4"/>
      <w:w w:val="103"/>
      <w:kern w:val="14"/>
      <w:lang w:val="en-GB" w:eastAsia="x-none"/>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basedOn w:val="TextocomentarioCar"/>
    <w:link w:val="Asuntodelcomentario"/>
    <w:uiPriority w:val="99"/>
    <w:semiHidden/>
    <w:locked/>
    <w:rPr>
      <w:rFonts w:eastAsia="SimSun" w:cs="Times New Roman"/>
      <w:b/>
      <w:spacing w:val="4"/>
      <w:w w:val="103"/>
      <w:kern w:val="14"/>
      <w:sz w:val="18"/>
      <w:lang w:val="en-GB" w:eastAsia="x-none"/>
    </w:rPr>
  </w:style>
  <w:style w:type="character" w:customStyle="1" w:styleId="CarCar">
    <w:name w:val="Car Car"/>
    <w:locked/>
    <w:rPr>
      <w:b/>
      <w:spacing w:val="4"/>
      <w:w w:val="103"/>
      <w:kern w:val="14"/>
      <w:lang w:val="en-GB" w:eastAsia="x-none"/>
    </w:rPr>
  </w:style>
  <w:style w:type="character" w:styleId="Hipervnculovisitado">
    <w:name w:val="FollowedHyperlink"/>
    <w:basedOn w:val="Fuentedeprrafopredeter"/>
    <w:uiPriority w:val="99"/>
    <w:rPr>
      <w:rFonts w:cs="Times New Roman"/>
      <w:color w:val="0000FF"/>
      <w:u w:val="none"/>
    </w:rPr>
  </w:style>
  <w:style w:type="character" w:customStyle="1" w:styleId="preferred">
    <w:name w:val="preferred"/>
  </w:style>
  <w:style w:type="character" w:customStyle="1" w:styleId="DONOTTRANSLATE">
    <w:name w:val="DO_NOT_TRANSLATE"/>
    <w:rPr>
      <w:rFonts w:ascii="Courier New" w:hAnsi="Courier New"/>
      <w:noProof/>
      <w:color w:val="800000"/>
    </w:rPr>
  </w:style>
  <w:style w:type="paragraph" w:styleId="Listaconnmeros2">
    <w:name w:val="List Number 2"/>
    <w:basedOn w:val="Normal"/>
    <w:uiPriority w:val="99"/>
    <w:rsid w:val="00352A6C"/>
    <w:pPr>
      <w:tabs>
        <w:tab w:val="num" w:pos="643"/>
      </w:tabs>
      <w:spacing w:line="240" w:lineRule="atLeast"/>
      <w:ind w:left="643" w:hanging="360"/>
    </w:pPr>
    <w:rPr>
      <w:spacing w:val="0"/>
      <w:w w:val="100"/>
      <w:kern w:val="0"/>
      <w:lang w:eastAsia="en-US"/>
    </w:rPr>
  </w:style>
  <w:style w:type="paragraph" w:customStyle="1" w:styleId="7P">
    <w:name w:val="_ 7_ P"/>
    <w:basedOn w:val="Normal"/>
    <w:next w:val="Normal"/>
    <w:qFormat/>
    <w:rsid w:val="00BA204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sz w:val="14"/>
      <w:szCs w:val="24"/>
      <w:lang w:val="es-ES" w:eastAsia="en-US"/>
    </w:rPr>
  </w:style>
  <w:style w:type="paragraph" w:styleId="Prrafodelista">
    <w:name w:val="List Paragraph"/>
    <w:basedOn w:val="Normal"/>
    <w:link w:val="PrrafodelistaCar"/>
    <w:uiPriority w:val="34"/>
    <w:qFormat/>
    <w:rsid w:val="00603BDA"/>
    <w:pPr>
      <w:ind w:left="720"/>
      <w:contextualSpacing/>
    </w:pPr>
    <w:rPr>
      <w:lang w:val="es-ES" w:eastAsia="en-US"/>
    </w:rPr>
  </w:style>
  <w:style w:type="character" w:customStyle="1" w:styleId="PrrafodelistaCar">
    <w:name w:val="Párrafo de lista Car"/>
    <w:link w:val="Prrafodelista"/>
    <w:uiPriority w:val="34"/>
    <w:locked/>
    <w:rsid w:val="00603BDA"/>
    <w:rPr>
      <w:spacing w:val="4"/>
      <w:w w:val="103"/>
      <w:kern w:val="14"/>
      <w:lang w:val="x-none" w:eastAsia="en-US"/>
    </w:rPr>
  </w:style>
  <w:style w:type="character" w:customStyle="1" w:styleId="SingleTxtChar">
    <w:name w:val="__Single Txt Char"/>
    <w:link w:val="SingleTxt"/>
    <w:locked/>
    <w:rsid w:val="00ED74DD"/>
    <w:rPr>
      <w:spacing w:val="4"/>
      <w:w w:val="103"/>
      <w:kern w:val="14"/>
      <w:lang w:val="en-GB" w:eastAsia="es-ES"/>
    </w:rPr>
  </w:style>
  <w:style w:type="table" w:customStyle="1" w:styleId="TableGrid2">
    <w:name w:val="Table Grid2"/>
    <w:basedOn w:val="Tablanormal"/>
    <w:next w:val="Tablaconcuadrcula"/>
    <w:uiPriority w:val="39"/>
    <w:rsid w:val="009A52B5"/>
    <w:pPr>
      <w:suppressAutoHyphens/>
      <w:spacing w:line="240" w:lineRule="atLeast"/>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odyA">
    <w:name w:val="Body A"/>
    <w:rsid w:val="005E4AC4"/>
    <w:pPr>
      <w:suppressAutoHyphens/>
      <w:spacing w:line="240" w:lineRule="atLeast"/>
    </w:pPr>
    <w:rPr>
      <w:rFonts w:eastAsia="Arial Unicode MS" w:cs="Arial Unicode MS"/>
      <w:color w:val="000000"/>
      <w:u w:color="000000"/>
      <w:lang w:val="en-US" w:eastAsia="en-GB"/>
    </w:rPr>
  </w:style>
  <w:style w:type="character" w:styleId="Textodelmarcadordeposicin">
    <w:name w:val="Placeholder Text"/>
    <w:basedOn w:val="Fuentedeprrafopredeter"/>
    <w:uiPriority w:val="99"/>
    <w:semiHidden/>
    <w:rsid w:val="00A75CA6"/>
    <w:rPr>
      <w:color w:val="808080"/>
    </w:rPr>
  </w:style>
  <w:style w:type="paragraph" w:styleId="Revisin">
    <w:name w:val="Revision"/>
    <w:hidden/>
    <w:uiPriority w:val="99"/>
    <w:semiHidden/>
    <w:rsid w:val="008E0629"/>
    <w:rPr>
      <w:spacing w:val="4"/>
      <w:w w:val="103"/>
      <w:kern w:val="14"/>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exact"/>
    </w:pPr>
    <w:rPr>
      <w:spacing w:val="4"/>
      <w:w w:val="103"/>
      <w:kern w:val="14"/>
      <w:lang w:val="en-GB" w:eastAsia="es-ES"/>
    </w:rPr>
  </w:style>
  <w:style w:type="paragraph" w:styleId="Ttulo7">
    <w:name w:val="heading 7"/>
    <w:basedOn w:val="Normal"/>
    <w:next w:val="Normal"/>
    <w:link w:val="Ttulo7Car"/>
    <w:uiPriority w:val="9"/>
    <w:semiHidden/>
    <w:unhideWhenUsed/>
    <w:qFormat/>
    <w:rsid w:val="00603BDA"/>
    <w:pPr>
      <w:keepNext/>
      <w:keepLines/>
      <w:numPr>
        <w:ilvl w:val="6"/>
        <w:numId w:val="4"/>
      </w:numPr>
      <w:spacing w:before="200"/>
      <w:outlineLvl w:val="6"/>
    </w:pPr>
    <w:rPr>
      <w:rFonts w:ascii="Cambria" w:eastAsia="SimSun" w:hAnsi="Cambria"/>
      <w:i/>
      <w:iCs/>
      <w:color w:val="404040"/>
      <w:lang w:val="es-ES" w:eastAsia="en-US"/>
    </w:rPr>
  </w:style>
  <w:style w:type="paragraph" w:styleId="Ttulo8">
    <w:name w:val="heading 8"/>
    <w:basedOn w:val="Normal"/>
    <w:next w:val="Normal"/>
    <w:link w:val="Ttulo8Car"/>
    <w:uiPriority w:val="9"/>
    <w:semiHidden/>
    <w:unhideWhenUsed/>
    <w:qFormat/>
    <w:rsid w:val="00603BDA"/>
    <w:pPr>
      <w:keepNext/>
      <w:keepLines/>
      <w:numPr>
        <w:ilvl w:val="7"/>
        <w:numId w:val="4"/>
      </w:numPr>
      <w:spacing w:before="200"/>
      <w:outlineLvl w:val="7"/>
    </w:pPr>
    <w:rPr>
      <w:rFonts w:ascii="Cambria" w:eastAsia="SimSun" w:hAnsi="Cambria"/>
      <w:color w:val="404040"/>
      <w:lang w:val="es-ES" w:eastAsia="en-US"/>
    </w:rPr>
  </w:style>
  <w:style w:type="paragraph" w:styleId="Ttulo9">
    <w:name w:val="heading 9"/>
    <w:basedOn w:val="Normal"/>
    <w:next w:val="Normal"/>
    <w:link w:val="Ttulo9Car"/>
    <w:uiPriority w:val="9"/>
    <w:semiHidden/>
    <w:unhideWhenUsed/>
    <w:qFormat/>
    <w:rsid w:val="00603BDA"/>
    <w:pPr>
      <w:keepNext/>
      <w:keepLines/>
      <w:numPr>
        <w:ilvl w:val="8"/>
        <w:numId w:val="4"/>
      </w:numPr>
      <w:spacing w:before="200"/>
      <w:outlineLvl w:val="8"/>
    </w:pPr>
    <w:rPr>
      <w:rFonts w:ascii="Cambria" w:eastAsia="SimSun" w:hAnsi="Cambria"/>
      <w:i/>
      <w:iCs/>
      <w:color w:val="40404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semiHidden/>
    <w:locked/>
    <w:rsid w:val="00603BDA"/>
    <w:rPr>
      <w:rFonts w:ascii="Cambria" w:eastAsia="SimSun" w:hAnsi="Cambria"/>
      <w:i/>
      <w:iCs/>
      <w:color w:val="404040"/>
      <w:spacing w:val="4"/>
      <w:w w:val="103"/>
      <w:kern w:val="14"/>
      <w:lang w:eastAsia="en-US"/>
    </w:rPr>
  </w:style>
  <w:style w:type="character" w:customStyle="1" w:styleId="Ttulo8Car">
    <w:name w:val="Título 8 Car"/>
    <w:basedOn w:val="Fuentedeprrafopredeter"/>
    <w:link w:val="Ttulo8"/>
    <w:uiPriority w:val="9"/>
    <w:semiHidden/>
    <w:locked/>
    <w:rsid w:val="00603BDA"/>
    <w:rPr>
      <w:rFonts w:ascii="Cambria" w:eastAsia="SimSun" w:hAnsi="Cambria"/>
      <w:color w:val="404040"/>
      <w:spacing w:val="4"/>
      <w:w w:val="103"/>
      <w:kern w:val="14"/>
      <w:lang w:eastAsia="en-US"/>
    </w:rPr>
  </w:style>
  <w:style w:type="character" w:customStyle="1" w:styleId="Ttulo9Car">
    <w:name w:val="Título 9 Car"/>
    <w:basedOn w:val="Fuentedeprrafopredeter"/>
    <w:link w:val="Ttulo9"/>
    <w:uiPriority w:val="9"/>
    <w:semiHidden/>
    <w:locked/>
    <w:rsid w:val="00603BDA"/>
    <w:rPr>
      <w:rFonts w:ascii="Cambria" w:eastAsia="SimSun" w:hAnsi="Cambria"/>
      <w:i/>
      <w:iCs/>
      <w:color w:val="404040"/>
      <w:spacing w:val="4"/>
      <w:w w:val="103"/>
      <w:kern w:val="14"/>
      <w:lang w:eastAsia="en-US"/>
    </w:rPr>
  </w:style>
  <w:style w:type="paragraph" w:customStyle="1" w:styleId="H1">
    <w:name w:val="_ H_1"/>
    <w:basedOn w:val="Normal"/>
    <w:next w:val="SingleTxt"/>
    <w:qForma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bCs/>
      <w:sz w:val="24"/>
      <w:szCs w:val="24"/>
    </w:rPr>
  </w:style>
  <w:style w:type="paragraph" w:customStyle="1" w:styleId="HCh">
    <w:name w:val="_ H _Ch"/>
    <w:basedOn w:val="H1"/>
    <w:next w:val="SingleTxt"/>
    <w:qFormat/>
    <w:pPr>
      <w:spacing w:line="300" w:lineRule="exact"/>
      <w:ind w:left="0" w:right="0" w:firstLine="0"/>
    </w:pPr>
    <w:rPr>
      <w:spacing w:val="-2"/>
      <w:sz w:val="28"/>
      <w:szCs w:val="28"/>
    </w:rPr>
  </w:style>
  <w:style w:type="paragraph" w:customStyle="1" w:styleId="HM">
    <w:name w:val="_ H __M"/>
    <w:basedOn w:val="HCh"/>
    <w:next w:val="Normal"/>
    <w:qFormat/>
    <w:pPr>
      <w:spacing w:line="360" w:lineRule="exact"/>
    </w:pPr>
    <w:rPr>
      <w:spacing w:val="-3"/>
      <w:w w:val="99"/>
      <w:sz w:val="34"/>
      <w:szCs w:val="34"/>
    </w:rPr>
  </w:style>
  <w:style w:type="paragraph" w:customStyle="1" w:styleId="H23">
    <w:name w:val="_ H_2/3"/>
    <w:basedOn w:val="H1"/>
    <w:next w:val="SingleTxt"/>
    <w:qFormat/>
    <w:pPr>
      <w:spacing w:line="240" w:lineRule="exact"/>
      <w:outlineLvl w:val="1"/>
    </w:pPr>
    <w:rPr>
      <w:spacing w:val="2"/>
      <w:sz w:val="20"/>
      <w:szCs w:val="20"/>
    </w:rPr>
  </w:style>
  <w:style w:type="paragraph" w:customStyle="1" w:styleId="H4">
    <w:name w:val="_ H_4"/>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iCs/>
      <w:spacing w:val="3"/>
    </w:rPr>
  </w:style>
  <w:style w:type="paragraph" w:customStyle="1" w:styleId="H56">
    <w:name w:val="_ H_5/6"/>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link w:val="SingleTxtChar"/>
    <w:qFormat/>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xtodeglobo">
    <w:name w:val="Balloon Text"/>
    <w:basedOn w:val="Normal"/>
    <w:link w:val="TextodegloboCar"/>
    <w:uiPriority w:val="99"/>
    <w:semiHidden/>
    <w:rPr>
      <w:rFonts w:eastAsia="SimSun"/>
      <w:b/>
      <w:sz w:val="18"/>
      <w:szCs w:val="16"/>
    </w:rPr>
  </w:style>
  <w:style w:type="character" w:customStyle="1" w:styleId="TextodegloboCar">
    <w:name w:val="Texto de globo Car"/>
    <w:basedOn w:val="Fuentedeprrafopredeter"/>
    <w:link w:val="Textodeglobo"/>
    <w:uiPriority w:val="99"/>
    <w:semiHidden/>
    <w:locked/>
    <w:rPr>
      <w:rFonts w:eastAsia="SimSun"/>
      <w:b/>
      <w:spacing w:val="4"/>
      <w:w w:val="103"/>
      <w:kern w:val="14"/>
      <w:sz w:val="18"/>
      <w:szCs w:val="16"/>
      <w:lang w:val="en-GB" w:eastAsia="es-ES"/>
    </w:rPr>
  </w:style>
  <w:style w:type="character" w:styleId="Refdecomentario">
    <w:name w:val="annotation reference"/>
    <w:basedOn w:val="Fuentedeprrafopredeter"/>
    <w:uiPriority w:val="99"/>
    <w:semiHidden/>
    <w:rPr>
      <w:rFonts w:cs="Times New Roman"/>
      <w:sz w:val="6"/>
    </w:rPr>
  </w:style>
  <w:style w:type="character" w:styleId="Refdenotaalpie">
    <w:name w:val="footnote reference"/>
    <w:aliases w:val="4_G,Ref,de nota al pie,Footnote Reference Number,ftref,Footnotes refss,Footnote Reference1,16 Point,Superscript 6 Point,Times 10 Point,Exposant 3 Point,Footnote symbol,Footnote reference number,EN Footnote Reference,note TESI,сноска"/>
    <w:basedOn w:val="Fuentedeprrafopredeter"/>
    <w:qFormat/>
    <w:rPr>
      <w:rFonts w:cs="Times New Roman"/>
      <w:color w:val="auto"/>
      <w:spacing w:val="5"/>
      <w:w w:val="103"/>
      <w:kern w:val="14"/>
      <w:position w:val="0"/>
      <w:vertAlign w:val="superscript"/>
    </w:rPr>
  </w:style>
  <w:style w:type="character" w:styleId="Refdenotaalfinal">
    <w:name w:val="endnote reference"/>
    <w:basedOn w:val="Fuentedeprrafopredeter"/>
    <w:uiPriority w:val="99"/>
    <w:semiHidden/>
    <w:rPr>
      <w:rFonts w:cs="Times New Roman"/>
      <w:color w:val="auto"/>
      <w:spacing w:val="5"/>
      <w:w w:val="103"/>
      <w:kern w:val="14"/>
      <w:position w:val="0"/>
      <w:vertAlign w:val="superscript"/>
    </w:rPr>
  </w:style>
  <w:style w:type="paragraph" w:styleId="Textonotapie">
    <w:name w:val="footnote text"/>
    <w:aliases w:val="5_G,fn,Footnote Text Char Char Char,single space,Текст сноски Знак,Footnote Reference2,FA Fu,Footnote Text Char Char Char Char Char,Footnote Text Char Char Char Car,Footnote Text Char Char Char Car Car Car Car Car Car,Fußnote,Char,f,ADB"/>
    <w:basedOn w:val="Normal"/>
    <w:link w:val="TextonotapieCar"/>
    <w:uiPriority w:val="99"/>
    <w:qFormat/>
    <w:pPr>
      <w:widowControl w:val="0"/>
      <w:tabs>
        <w:tab w:val="right" w:pos="418"/>
      </w:tabs>
      <w:spacing w:line="210" w:lineRule="exact"/>
      <w:ind w:left="475" w:hanging="475"/>
    </w:pPr>
    <w:rPr>
      <w:spacing w:val="5"/>
      <w:sz w:val="17"/>
      <w:szCs w:val="17"/>
    </w:rPr>
  </w:style>
  <w:style w:type="character" w:customStyle="1" w:styleId="TextonotapieCar">
    <w:name w:val="Texto nota pie Car"/>
    <w:aliases w:val="5_G Car,fn Car,Footnote Text Char Char Char Car1,single space Car,Текст сноски Знак Car,Footnote Reference2 Car,FA Fu Car,Footnote Text Char Char Char Char Char Car,Footnote Text Char Char Char Car Car,Fußnote Car,Char Car,f Car"/>
    <w:basedOn w:val="Fuentedeprrafopredeter"/>
    <w:link w:val="Textonotapie"/>
    <w:uiPriority w:val="99"/>
    <w:locked/>
    <w:rPr>
      <w:rFonts w:cs="Times New Roman"/>
      <w:spacing w:val="4"/>
      <w:w w:val="103"/>
      <w:kern w:val="14"/>
      <w:lang w:val="en-GB" w:eastAsia="x-none"/>
    </w:rPr>
  </w:style>
  <w:style w:type="paragraph" w:styleId="Textonotaalfinal">
    <w:name w:val="endnote text"/>
    <w:basedOn w:val="Textonotapie"/>
    <w:link w:val="TextonotaalfinalCar"/>
    <w:uiPriority w:val="99"/>
    <w:semiHidden/>
  </w:style>
  <w:style w:type="character" w:customStyle="1" w:styleId="TextonotaalfinalCar">
    <w:name w:val="Texto nota al final Car"/>
    <w:basedOn w:val="Fuentedeprrafopredeter"/>
    <w:link w:val="Textonotaalfinal"/>
    <w:uiPriority w:val="99"/>
    <w:semiHidden/>
    <w:locked/>
    <w:rPr>
      <w:rFonts w:cs="Times New Roman"/>
      <w:spacing w:val="4"/>
      <w:w w:val="103"/>
      <w:kern w:val="14"/>
      <w:lang w:val="en-GB" w:eastAsia="x-none"/>
    </w:rPr>
  </w:style>
  <w:style w:type="paragraph" w:styleId="Piedepgina">
    <w:name w:val="footer"/>
    <w:basedOn w:val="Normal"/>
    <w:link w:val="PiedepginaCar"/>
    <w:uiPriority w:val="99"/>
    <w:pPr>
      <w:tabs>
        <w:tab w:val="center" w:pos="4320"/>
        <w:tab w:val="right" w:pos="8640"/>
      </w:tabs>
      <w:suppressAutoHyphens w:val="0"/>
      <w:spacing w:line="240" w:lineRule="auto"/>
    </w:pPr>
    <w:rPr>
      <w:b/>
      <w:bCs/>
      <w:noProof/>
      <w:spacing w:val="0"/>
      <w:w w:val="100"/>
      <w:kern w:val="0"/>
      <w:sz w:val="17"/>
      <w:szCs w:val="17"/>
      <w:lang w:val="es-ES"/>
    </w:rPr>
  </w:style>
  <w:style w:type="character" w:customStyle="1" w:styleId="PiedepginaCar">
    <w:name w:val="Pie de página Car"/>
    <w:basedOn w:val="Fuentedeprrafopredeter"/>
    <w:link w:val="Piedepgina"/>
    <w:uiPriority w:val="99"/>
    <w:semiHidden/>
    <w:locked/>
    <w:rPr>
      <w:rFonts w:cs="Times New Roman"/>
      <w:spacing w:val="4"/>
      <w:w w:val="103"/>
      <w:kern w:val="14"/>
      <w:lang w:val="en-GB" w:eastAsia="x-none"/>
    </w:rPr>
  </w:style>
  <w:style w:type="paragraph" w:styleId="Encabezado">
    <w:name w:val="header"/>
    <w:basedOn w:val="Normal"/>
    <w:link w:val="EncabezadoCar"/>
    <w:uiPriority w:val="99"/>
    <w:pPr>
      <w:tabs>
        <w:tab w:val="center" w:pos="4320"/>
        <w:tab w:val="right" w:pos="8640"/>
      </w:tabs>
      <w:suppressAutoHyphens w:val="0"/>
      <w:spacing w:line="240" w:lineRule="auto"/>
    </w:pPr>
    <w:rPr>
      <w:noProof/>
      <w:spacing w:val="0"/>
      <w:w w:val="100"/>
      <w:kern w:val="0"/>
      <w:sz w:val="17"/>
      <w:szCs w:val="17"/>
      <w:lang w:val="es-ES"/>
    </w:rPr>
  </w:style>
  <w:style w:type="character" w:customStyle="1" w:styleId="EncabezadoCar">
    <w:name w:val="Encabezado Car"/>
    <w:basedOn w:val="Fuentedeprrafopredeter"/>
    <w:link w:val="Encabezado"/>
    <w:uiPriority w:val="99"/>
    <w:semiHidden/>
    <w:locked/>
    <w:rPr>
      <w:rFonts w:cs="Times New Roman"/>
      <w:spacing w:val="4"/>
      <w:w w:val="103"/>
      <w:kern w:val="14"/>
      <w:lang w:val="en-GB" w:eastAsia="x-none"/>
    </w:rPr>
  </w:style>
  <w:style w:type="character" w:styleId="Nmerodelnea">
    <w:name w:val="line number"/>
    <w:basedOn w:val="Fuentedeprrafopredeter"/>
    <w:uiPriority w:val="99"/>
    <w:rPr>
      <w:rFonts w:cs="Times New Roman"/>
      <w:sz w:val="14"/>
    </w:rPr>
  </w:style>
  <w:style w:type="paragraph" w:customStyle="1" w:styleId="Small">
    <w:name w:val="Small"/>
    <w:basedOn w:val="Normal"/>
    <w:next w:val="Normal"/>
    <w:pPr>
      <w:tabs>
        <w:tab w:val="right" w:pos="9965"/>
      </w:tabs>
      <w:spacing w:line="210" w:lineRule="exact"/>
    </w:pPr>
    <w:rPr>
      <w:spacing w:val="5"/>
      <w:w w:val="104"/>
      <w:sz w:val="17"/>
      <w:szCs w:val="17"/>
    </w:rPr>
  </w:style>
  <w:style w:type="paragraph" w:customStyle="1" w:styleId="SmallX">
    <w:name w:val="SmallX"/>
    <w:basedOn w:val="Small"/>
    <w:next w:val="Normal"/>
    <w:pPr>
      <w:spacing w:line="180" w:lineRule="exact"/>
      <w:jc w:val="right"/>
    </w:pPr>
    <w:rPr>
      <w:spacing w:val="6"/>
      <w:w w:val="106"/>
      <w:sz w:val="14"/>
      <w:szCs w:val="14"/>
    </w:rPr>
  </w:style>
  <w:style w:type="paragraph" w:customStyle="1" w:styleId="XLarge">
    <w:name w:val="XLarge"/>
    <w:basedOn w:val="HM"/>
    <w:pPr>
      <w:spacing w:line="390" w:lineRule="exact"/>
    </w:pPr>
    <w:rPr>
      <w:spacing w:val="-4"/>
      <w:w w:val="98"/>
      <w:sz w:val="40"/>
      <w:szCs w:val="40"/>
    </w:rPr>
  </w:style>
  <w:style w:type="paragraph" w:styleId="Textosinformato">
    <w:name w:val="Plain Text"/>
    <w:basedOn w:val="Normal"/>
    <w:link w:val="TextosinformatoCar"/>
    <w:uiPriority w:val="99"/>
    <w:pPr>
      <w:suppressAutoHyphens w:val="0"/>
      <w:spacing w:line="240" w:lineRule="auto"/>
    </w:pPr>
    <w:rPr>
      <w:rFonts w:ascii="Courier New" w:hAnsi="Courier New" w:cs="Courier New"/>
      <w:spacing w:val="0"/>
      <w:w w:val="100"/>
      <w:kern w:val="0"/>
      <w:lang w:val="en-US"/>
    </w:rPr>
  </w:style>
  <w:style w:type="character" w:customStyle="1" w:styleId="TextosinformatoCar">
    <w:name w:val="Texto sin formato Car"/>
    <w:basedOn w:val="Fuentedeprrafopredeter"/>
    <w:link w:val="Textosinformato"/>
    <w:uiPriority w:val="99"/>
    <w:semiHidden/>
    <w:locked/>
    <w:rPr>
      <w:rFonts w:ascii="Courier New" w:hAnsi="Courier New" w:cs="Times New Roman"/>
      <w:spacing w:val="4"/>
      <w:w w:val="103"/>
      <w:kern w:val="14"/>
      <w:lang w:val="en-GB" w:eastAsia="x-none"/>
    </w:rPr>
  </w:style>
  <w:style w:type="table" w:styleId="Tablaconcuadrcula">
    <w:name w:val="Table Grid"/>
    <w:basedOn w:val="Tablanormal"/>
    <w:uiPriority w:val="59"/>
    <w:pPr>
      <w:suppressAutoHyphens/>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Normal">
    <w:name w:val="Agenda_Item_Normal"/>
    <w:next w:val="Normal"/>
    <w:rPr>
      <w:spacing w:val="4"/>
      <w:w w:val="103"/>
      <w:kern w:val="14"/>
      <w:lang w:val="en-GB" w:eastAsia="es-ES"/>
    </w:rPr>
  </w:style>
  <w:style w:type="paragraph" w:customStyle="1" w:styleId="TitleH1">
    <w:name w:val="Title_H1"/>
    <w:basedOn w:val="H1"/>
    <w:next w:val="Normal"/>
    <w:qFormat/>
    <w:pPr>
      <w:keepNext w:val="0"/>
      <w:keepLines w:val="0"/>
    </w:pPr>
  </w:style>
  <w:style w:type="paragraph" w:customStyle="1" w:styleId="Session">
    <w:name w:val="Session"/>
    <w:basedOn w:val="H23"/>
    <w:pPr>
      <w:ind w:left="0" w:firstLine="0"/>
    </w:pPr>
    <w:rPr>
      <w:spacing w:val="4"/>
    </w:rPr>
  </w:style>
  <w:style w:type="paragraph" w:customStyle="1" w:styleId="AgendaTitleH2">
    <w:name w:val="Agenda_Title_H2"/>
    <w:basedOn w:val="TitleH1"/>
    <w:next w:val="Normal"/>
    <w:pPr>
      <w:keepNext/>
      <w:keepLines/>
      <w:spacing w:line="240" w:lineRule="exact"/>
      <w:ind w:left="0" w:firstLine="0"/>
      <w:outlineLvl w:val="1"/>
    </w:pPr>
    <w:rPr>
      <w:sz w:val="20"/>
      <w:szCs w:val="20"/>
    </w:rPr>
  </w:style>
  <w:style w:type="paragraph" w:customStyle="1" w:styleId="TitleHCH">
    <w:name w:val="Title_H_CH"/>
    <w:basedOn w:val="HCh"/>
    <w:next w:val="SingleTxt"/>
    <w:qFormat/>
    <w:pPr>
      <w:ind w:left="1267" w:right="1267" w:hanging="1267"/>
    </w:pPr>
  </w:style>
  <w:style w:type="paragraph" w:customStyle="1" w:styleId="TitleH2">
    <w:name w:val="Title_H2"/>
    <w:basedOn w:val="H23"/>
    <w:qFormat/>
  </w:style>
  <w:style w:type="paragraph" w:customStyle="1" w:styleId="Distribution">
    <w:name w:val="Distribution"/>
    <w:next w:val="Normal"/>
    <w:pPr>
      <w:spacing w:before="240"/>
    </w:pPr>
    <w:rPr>
      <w:spacing w:val="4"/>
      <w:w w:val="103"/>
      <w:kern w:val="14"/>
      <w:lang w:val="en-GB" w:eastAsia="es-ES"/>
    </w:rPr>
  </w:style>
  <w:style w:type="paragraph" w:customStyle="1" w:styleId="Publication">
    <w:name w:val="Publication"/>
    <w:next w:val="Normal"/>
    <w:rPr>
      <w:spacing w:val="4"/>
      <w:w w:val="103"/>
      <w:kern w:val="14"/>
      <w:lang w:val="en-GB" w:eastAsia="es-ES"/>
    </w:rPr>
  </w:style>
  <w:style w:type="paragraph" w:customStyle="1" w:styleId="Original">
    <w:name w:val="Original"/>
    <w:next w:val="Normal"/>
    <w:rPr>
      <w:spacing w:val="4"/>
      <w:w w:val="103"/>
      <w:kern w:val="14"/>
      <w:lang w:val="en-GB" w:eastAsia="es-ES"/>
    </w:rPr>
  </w:style>
  <w:style w:type="paragraph" w:customStyle="1" w:styleId="ReleaseDate">
    <w:name w:val="Release Date"/>
    <w:next w:val="Piedepgina"/>
    <w:rPr>
      <w:spacing w:val="4"/>
      <w:w w:val="103"/>
      <w:kern w:val="14"/>
      <w:lang w:val="en-GB" w:eastAsia="es-ES"/>
    </w:rPr>
  </w:style>
  <w:style w:type="character" w:styleId="Hipervnculo">
    <w:name w:val="Hyperlink"/>
    <w:basedOn w:val="Fuentedeprrafopredeter"/>
    <w:uiPriority w:val="99"/>
    <w:rPr>
      <w:rFonts w:cs="Times New Roman"/>
      <w:color w:val="0000FF"/>
      <w:u w:val="none"/>
    </w:rPr>
  </w:style>
  <w:style w:type="paragraph" w:customStyle="1" w:styleId="Bullet1">
    <w:name w:val="Bullet 1"/>
    <w:basedOn w:val="Normal"/>
    <w:pPr>
      <w:numPr>
        <w:numId w:val="2"/>
      </w:numPr>
      <w:spacing w:after="120" w:line="240" w:lineRule="atLeast"/>
      <w:ind w:left="1743" w:right="1267" w:hanging="130"/>
      <w:jc w:val="both"/>
    </w:pPr>
  </w:style>
  <w:style w:type="paragraph" w:customStyle="1" w:styleId="Bullet2">
    <w:name w:val="Bullet 2"/>
    <w:basedOn w:val="Normal"/>
    <w:pPr>
      <w:numPr>
        <w:numId w:val="1"/>
      </w:numPr>
      <w:spacing w:after="120"/>
      <w:ind w:left="2217" w:right="1264" w:hanging="130"/>
      <w:jc w:val="both"/>
    </w:pPr>
  </w:style>
  <w:style w:type="paragraph" w:customStyle="1" w:styleId="Bullet3">
    <w:name w:val="Bullet 3"/>
    <w:basedOn w:val="SingleTxt"/>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xtocomentario">
    <w:name w:val="annotation text"/>
    <w:basedOn w:val="Normal"/>
    <w:link w:val="TextocomentarioCar"/>
    <w:uiPriority w:val="99"/>
    <w:semiHidden/>
    <w:pPr>
      <w:spacing w:line="240" w:lineRule="auto"/>
    </w:pPr>
    <w:rPr>
      <w:rFonts w:eastAsia="SimSun"/>
      <w:sz w:val="18"/>
    </w:rPr>
  </w:style>
  <w:style w:type="character" w:customStyle="1" w:styleId="TextocomentarioCar">
    <w:name w:val="Texto comentario Car"/>
    <w:basedOn w:val="Fuentedeprrafopredeter"/>
    <w:link w:val="Textocomentario"/>
    <w:uiPriority w:val="99"/>
    <w:semiHidden/>
    <w:locked/>
    <w:rPr>
      <w:rFonts w:eastAsia="SimSun"/>
      <w:spacing w:val="4"/>
      <w:w w:val="103"/>
      <w:kern w:val="14"/>
      <w:sz w:val="18"/>
      <w:lang w:val="en-GB" w:eastAsia="es-ES"/>
    </w:rPr>
  </w:style>
  <w:style w:type="character" w:customStyle="1" w:styleId="CarCar1">
    <w:name w:val="Car Car1"/>
    <w:locked/>
    <w:rPr>
      <w:spacing w:val="4"/>
      <w:w w:val="103"/>
      <w:kern w:val="14"/>
      <w:lang w:val="en-GB" w:eastAsia="x-none"/>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basedOn w:val="TextocomentarioCar"/>
    <w:link w:val="Asuntodelcomentario"/>
    <w:uiPriority w:val="99"/>
    <w:semiHidden/>
    <w:locked/>
    <w:rPr>
      <w:rFonts w:eastAsia="SimSun" w:cs="Times New Roman"/>
      <w:b/>
      <w:spacing w:val="4"/>
      <w:w w:val="103"/>
      <w:kern w:val="14"/>
      <w:sz w:val="18"/>
      <w:lang w:val="en-GB" w:eastAsia="x-none"/>
    </w:rPr>
  </w:style>
  <w:style w:type="character" w:customStyle="1" w:styleId="CarCar">
    <w:name w:val="Car Car"/>
    <w:locked/>
    <w:rPr>
      <w:b/>
      <w:spacing w:val="4"/>
      <w:w w:val="103"/>
      <w:kern w:val="14"/>
      <w:lang w:val="en-GB" w:eastAsia="x-none"/>
    </w:rPr>
  </w:style>
  <w:style w:type="character" w:styleId="Hipervnculovisitado">
    <w:name w:val="FollowedHyperlink"/>
    <w:basedOn w:val="Fuentedeprrafopredeter"/>
    <w:uiPriority w:val="99"/>
    <w:rPr>
      <w:rFonts w:cs="Times New Roman"/>
      <w:color w:val="0000FF"/>
      <w:u w:val="none"/>
    </w:rPr>
  </w:style>
  <w:style w:type="character" w:customStyle="1" w:styleId="preferred">
    <w:name w:val="preferred"/>
  </w:style>
  <w:style w:type="character" w:customStyle="1" w:styleId="DONOTTRANSLATE">
    <w:name w:val="DO_NOT_TRANSLATE"/>
    <w:rPr>
      <w:rFonts w:ascii="Courier New" w:hAnsi="Courier New"/>
      <w:noProof/>
      <w:color w:val="800000"/>
    </w:rPr>
  </w:style>
  <w:style w:type="paragraph" w:styleId="Listaconnmeros2">
    <w:name w:val="List Number 2"/>
    <w:basedOn w:val="Normal"/>
    <w:uiPriority w:val="99"/>
    <w:rsid w:val="00352A6C"/>
    <w:pPr>
      <w:tabs>
        <w:tab w:val="num" w:pos="643"/>
      </w:tabs>
      <w:spacing w:line="240" w:lineRule="atLeast"/>
      <w:ind w:left="643" w:hanging="360"/>
    </w:pPr>
    <w:rPr>
      <w:spacing w:val="0"/>
      <w:w w:val="100"/>
      <w:kern w:val="0"/>
      <w:lang w:eastAsia="en-US"/>
    </w:rPr>
  </w:style>
  <w:style w:type="paragraph" w:customStyle="1" w:styleId="7P">
    <w:name w:val="_ 7_ P"/>
    <w:basedOn w:val="Normal"/>
    <w:next w:val="Normal"/>
    <w:qFormat/>
    <w:rsid w:val="00BA204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sz w:val="14"/>
      <w:szCs w:val="24"/>
      <w:lang w:val="es-ES" w:eastAsia="en-US"/>
    </w:rPr>
  </w:style>
  <w:style w:type="paragraph" w:styleId="Prrafodelista">
    <w:name w:val="List Paragraph"/>
    <w:basedOn w:val="Normal"/>
    <w:link w:val="PrrafodelistaCar"/>
    <w:uiPriority w:val="34"/>
    <w:qFormat/>
    <w:rsid w:val="00603BDA"/>
    <w:pPr>
      <w:ind w:left="720"/>
      <w:contextualSpacing/>
    </w:pPr>
    <w:rPr>
      <w:lang w:val="es-ES" w:eastAsia="en-US"/>
    </w:rPr>
  </w:style>
  <w:style w:type="character" w:customStyle="1" w:styleId="PrrafodelistaCar">
    <w:name w:val="Párrafo de lista Car"/>
    <w:link w:val="Prrafodelista"/>
    <w:uiPriority w:val="34"/>
    <w:locked/>
    <w:rsid w:val="00603BDA"/>
    <w:rPr>
      <w:spacing w:val="4"/>
      <w:w w:val="103"/>
      <w:kern w:val="14"/>
      <w:lang w:val="x-none" w:eastAsia="en-US"/>
    </w:rPr>
  </w:style>
  <w:style w:type="character" w:customStyle="1" w:styleId="SingleTxtChar">
    <w:name w:val="__Single Txt Char"/>
    <w:link w:val="SingleTxt"/>
    <w:locked/>
    <w:rsid w:val="00ED74DD"/>
    <w:rPr>
      <w:spacing w:val="4"/>
      <w:w w:val="103"/>
      <w:kern w:val="14"/>
      <w:lang w:val="en-GB" w:eastAsia="es-ES"/>
    </w:rPr>
  </w:style>
  <w:style w:type="table" w:customStyle="1" w:styleId="TableGrid2">
    <w:name w:val="Table Grid2"/>
    <w:basedOn w:val="Tablanormal"/>
    <w:next w:val="Tablaconcuadrcula"/>
    <w:uiPriority w:val="39"/>
    <w:rsid w:val="009A52B5"/>
    <w:pPr>
      <w:suppressAutoHyphens/>
      <w:spacing w:line="240" w:lineRule="atLeast"/>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odyA">
    <w:name w:val="Body A"/>
    <w:rsid w:val="005E4AC4"/>
    <w:pPr>
      <w:suppressAutoHyphens/>
      <w:spacing w:line="240" w:lineRule="atLeast"/>
    </w:pPr>
    <w:rPr>
      <w:rFonts w:eastAsia="Arial Unicode MS" w:cs="Arial Unicode MS"/>
      <w:color w:val="000000"/>
      <w:u w:color="000000"/>
      <w:lang w:val="en-US" w:eastAsia="en-GB"/>
    </w:rPr>
  </w:style>
  <w:style w:type="character" w:styleId="Textodelmarcadordeposicin">
    <w:name w:val="Placeholder Text"/>
    <w:basedOn w:val="Fuentedeprrafopredeter"/>
    <w:uiPriority w:val="99"/>
    <w:semiHidden/>
    <w:rsid w:val="00A75CA6"/>
    <w:rPr>
      <w:color w:val="808080"/>
    </w:rPr>
  </w:style>
  <w:style w:type="paragraph" w:styleId="Revisin">
    <w:name w:val="Revision"/>
    <w:hidden/>
    <w:uiPriority w:val="99"/>
    <w:semiHidden/>
    <w:rsid w:val="008E0629"/>
    <w:rPr>
      <w:spacing w:val="4"/>
      <w:w w:val="103"/>
      <w:kern w:val="1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ndocs.org/es/CEDAW/C/SR.1537" TargetMode="External"/><Relationship Id="rId26" Type="http://schemas.openxmlformats.org/officeDocument/2006/relationships/hyperlink" Target="https://undocs.org/es/CEDAW/C/PRY/CO/6" TargetMode="External"/><Relationship Id="rId3" Type="http://schemas.openxmlformats.org/officeDocument/2006/relationships/styles" Target="styles.xml"/><Relationship Id="rId21" Type="http://schemas.openxmlformats.org/officeDocument/2006/relationships/hyperlink" Target="https://undocs.org/es/CEDAW/C/PRY/CO/6/Add.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ndocs.org/es/CEDAW/C/SR.1536" TargetMode="External"/><Relationship Id="rId25" Type="http://schemas.openxmlformats.org/officeDocument/2006/relationships/hyperlink" Target="https://undocs.org/es/CEDAW/C/PRY/CO/6" TargetMode="External"/><Relationship Id="rId33" Type="http://schemas.openxmlformats.org/officeDocument/2006/relationships/hyperlink" Target="https://undocs.org/es/HRI/GEN/2/Rev.6" TargetMode="External"/><Relationship Id="rId2" Type="http://schemas.openxmlformats.org/officeDocument/2006/relationships/numbering" Target="numbering.xml"/><Relationship Id="rId16" Type="http://schemas.openxmlformats.org/officeDocument/2006/relationships/hyperlink" Target="https://undocs.org/es/CEDAW/C/PRY/7" TargetMode="External"/><Relationship Id="rId20" Type="http://schemas.openxmlformats.org/officeDocument/2006/relationships/hyperlink" Target="https://undocs.org/es/CEDAW/C/PRY/Q/7/Add.1" TargetMode="External"/><Relationship Id="rId29" Type="http://schemas.openxmlformats.org/officeDocument/2006/relationships/hyperlink" Target="https://undocs.org/es/A/HRC/3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undocs.org/es/A/HRC/32/9" TargetMode="External"/><Relationship Id="rId32" Type="http://schemas.openxmlformats.org/officeDocument/2006/relationships/hyperlink" Target="https://undocs.org/es/CEDAW/C/PRY/CO/6"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undocs.org/es/CEDAW/C/PRY/CO/6" TargetMode="External"/><Relationship Id="rId28" Type="http://schemas.openxmlformats.org/officeDocument/2006/relationships/hyperlink" Target="https://undocs.org/es/CEDAW/C/PRY/CO/6" TargetMode="Externa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s://undocs.org/es/CEDAW/C/PRY/Q/7" TargetMode="External"/><Relationship Id="rId31" Type="http://schemas.openxmlformats.org/officeDocument/2006/relationships/hyperlink" Target="https://undocs.org/es/CEDAW/C/PRY/CO/6"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undocs.org/es/CEDAW/C/PAR/6" TargetMode="External"/><Relationship Id="rId27" Type="http://schemas.openxmlformats.org/officeDocument/2006/relationships/hyperlink" Target="https://undocs.org/es/CEDAW/C/PRY/CO/6" TargetMode="External"/><Relationship Id="rId30" Type="http://schemas.openxmlformats.org/officeDocument/2006/relationships/hyperlink" Target="https://undocs.org/es/CEDAW/C/PRY/CO/6"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2993-17F4-4ADA-8E1A-30FA0D63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8253</Words>
  <Characters>45394</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Reviser</dc:creator>
  <cp:lastModifiedBy>Victoria Mariel Franco Carvallo</cp:lastModifiedBy>
  <cp:revision>2</cp:revision>
  <cp:lastPrinted>2016-03-30T20:24:00Z</cp:lastPrinted>
  <dcterms:created xsi:type="dcterms:W3CDTF">2018-03-22T18:30:00Z</dcterms:created>
  <dcterms:modified xsi:type="dcterms:W3CDTF">2018-03-22T18:30:00Z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1720380S</vt:lpwstr>
  </property>
  <property fmtid="{D5CDD505-2E9C-101B-9397-08002B2CF9AE}" pid="3" name="ODSRefJobNo">
    <vt:lpwstr>1739459S</vt:lpwstr>
  </property>
  <property fmtid="{D5CDD505-2E9C-101B-9397-08002B2CF9AE}" pid="4" name="Symbol1">
    <vt:lpwstr>CEDAW/C/PRY/CO/7</vt:lpwstr>
  </property>
  <property fmtid="{D5CDD505-2E9C-101B-9397-08002B2CF9AE}" pid="5" name="Symbol2">
    <vt:lpwstr/>
  </property>
  <property fmtid="{D5CDD505-2E9C-101B-9397-08002B2CF9AE}" pid="6" name="Category">
    <vt:lpwstr>Document</vt:lpwstr>
  </property>
  <property fmtid="{D5CDD505-2E9C-101B-9397-08002B2CF9AE}" pid="7" name="Original">
    <vt:lpwstr>inglés</vt:lpwstr>
  </property>
  <property fmtid="{D5CDD505-2E9C-101B-9397-08002B2CF9AE}" pid="8" name="Title1">
    <vt:lpwstr>Comité para la Eliminación de la Discriminación contra la Mujer_x000d_</vt:lpwstr>
  </property>
  <property fmtid="{D5CDD505-2E9C-101B-9397-08002B2CF9AE}" pid="9" name="Title2">
    <vt:lpwstr>		Observaciones finales sobre el séptimo informe periódico del Paraguay*_x000d_</vt:lpwstr>
  </property>
</Properties>
</file>